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2</w:t>
      </w:r>
      <w:r w:rsidR="00FB1203">
        <w:rPr>
          <w:sz w:val="28"/>
          <w:szCs w:val="28"/>
        </w:rPr>
        <w:t>8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F63F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203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B1203">
        <w:rPr>
          <w:sz w:val="28"/>
          <w:szCs w:val="28"/>
        </w:rPr>
        <w:t xml:space="preserve"> мониторинге коррупционных рисков в</w:t>
      </w:r>
      <w:proofErr w:type="gramEnd"/>
      <w:r w:rsidR="00FB1203">
        <w:rPr>
          <w:sz w:val="28"/>
          <w:szCs w:val="28"/>
        </w:rPr>
        <w:t xml:space="preserve"> администрации 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 xml:space="preserve">заместителем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F63F0">
        <w:rPr>
          <w:sz w:val="28"/>
          <w:szCs w:val="28"/>
        </w:rPr>
        <w:t>М.</w:t>
      </w:r>
      <w:r w:rsidR="00FB1203">
        <w:rPr>
          <w:sz w:val="28"/>
          <w:szCs w:val="28"/>
        </w:rPr>
        <w:t>Н. Игнатовым.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 xml:space="preserve">13 февраля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FB1203">
        <w:rPr>
          <w:sz w:val="28"/>
          <w:szCs w:val="28"/>
        </w:rPr>
        <w:t>1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>07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DF63F0" w:rsidRPr="0077461D">
        <w:rPr>
          <w:sz w:val="28"/>
          <w:szCs w:val="28"/>
        </w:rPr>
        <w:t xml:space="preserve">Согласно заключения Крымской межрайонной прокуратуры  от  </w:t>
      </w:r>
      <w:r w:rsidR="00DF63F0">
        <w:rPr>
          <w:sz w:val="28"/>
          <w:szCs w:val="28"/>
        </w:rPr>
        <w:t>2</w:t>
      </w:r>
      <w:r w:rsidR="00FB1203">
        <w:rPr>
          <w:sz w:val="28"/>
          <w:szCs w:val="28"/>
        </w:rPr>
        <w:t>1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DF63F0">
        <w:rPr>
          <w:sz w:val="28"/>
          <w:szCs w:val="28"/>
        </w:rPr>
        <w:t>15</w:t>
      </w:r>
      <w:r w:rsidR="00FB1203">
        <w:rPr>
          <w:sz w:val="28"/>
          <w:szCs w:val="28"/>
        </w:rPr>
        <w:t>75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2017-06-26T13:15:00Z</dcterms:created>
  <dcterms:modified xsi:type="dcterms:W3CDTF">2017-06-26T13:15:00Z</dcterms:modified>
</cp:coreProperties>
</file>