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740"/>
      </w:tblGrid>
      <w:tr w:rsidR="006D55FD" w:rsidRPr="000C1BA9" w:rsidTr="006D55FD">
        <w:tc>
          <w:tcPr>
            <w:tcW w:w="8046" w:type="dxa"/>
          </w:tcPr>
          <w:p w:rsidR="006D55FD" w:rsidRDefault="006D55FD" w:rsidP="006D55FD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40" w:type="dxa"/>
          </w:tcPr>
          <w:p w:rsidR="006D55FD" w:rsidRPr="0067603F" w:rsidRDefault="000C1BA9" w:rsidP="006D55FD">
            <w:pPr>
              <w:pStyle w:val="ConsPlusTitle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Приложение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  <w:p w:rsidR="006D55FD" w:rsidRPr="0067603F" w:rsidRDefault="006D55FD" w:rsidP="006D55F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67603F">
              <w:rPr>
                <w:rFonts w:ascii="Times New Roman" w:hAnsi="Times New Roman" w:cs="Times New Roman"/>
                <w:b w:val="0"/>
                <w:szCs w:val="24"/>
              </w:rPr>
              <w:t xml:space="preserve">к Порядку осуществления финансовым управлением </w:t>
            </w:r>
          </w:p>
          <w:p w:rsidR="006D55FD" w:rsidRPr="0067603F" w:rsidRDefault="006D55FD" w:rsidP="00BF2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67603F">
              <w:rPr>
                <w:rFonts w:ascii="Times New Roman" w:hAnsi="Times New Roman" w:cs="Times New Roman"/>
                <w:b w:val="0"/>
                <w:szCs w:val="24"/>
              </w:rPr>
              <w:t xml:space="preserve">администрации </w:t>
            </w:r>
            <w:r w:rsidR="00BF25CC" w:rsidRPr="0067603F">
              <w:rPr>
                <w:rFonts w:ascii="Times New Roman" w:hAnsi="Times New Roman" w:cs="Times New Roman"/>
                <w:b w:val="0"/>
                <w:szCs w:val="24"/>
              </w:rPr>
              <w:t xml:space="preserve">Крымского городского поселения Крымского района </w:t>
            </w:r>
            <w:r w:rsidRPr="0067603F">
              <w:rPr>
                <w:rFonts w:ascii="Times New Roman" w:hAnsi="Times New Roman" w:cs="Times New Roman"/>
                <w:b w:val="0"/>
                <w:szCs w:val="24"/>
              </w:rPr>
              <w:t xml:space="preserve">санкционирования операций </w:t>
            </w:r>
            <w:proofErr w:type="gramStart"/>
            <w:r w:rsidRPr="0067603F">
              <w:rPr>
                <w:rFonts w:ascii="Times New Roman" w:hAnsi="Times New Roman" w:cs="Times New Roman"/>
                <w:b w:val="0"/>
                <w:szCs w:val="24"/>
              </w:rPr>
              <w:t>со</w:t>
            </w:r>
            <w:proofErr w:type="gramEnd"/>
          </w:p>
          <w:p w:rsidR="006D55FD" w:rsidRPr="0067603F" w:rsidRDefault="006D55FD" w:rsidP="006D55FD">
            <w:pPr>
              <w:pStyle w:val="ConsPlusTitle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b w:val="0"/>
                <w:szCs w:val="24"/>
              </w:rPr>
              <w:t>средствами участников казначейского сопровождения при ка</w:t>
            </w:r>
            <w:r w:rsidRPr="0067603F">
              <w:rPr>
                <w:rFonts w:ascii="Times New Roman" w:hAnsi="Times New Roman" w:cs="Times New Roman"/>
                <w:b w:val="0"/>
                <w:szCs w:val="24"/>
              </w:rPr>
              <w:t>з</w:t>
            </w:r>
            <w:r w:rsidRPr="0067603F">
              <w:rPr>
                <w:rFonts w:ascii="Times New Roman" w:hAnsi="Times New Roman" w:cs="Times New Roman"/>
                <w:b w:val="0"/>
                <w:szCs w:val="24"/>
              </w:rPr>
              <w:t>начейском сопровождении целевых средств</w:t>
            </w:r>
          </w:p>
        </w:tc>
      </w:tr>
    </w:tbl>
    <w:p w:rsidR="006D55FD" w:rsidRDefault="006D55FD" w:rsidP="006D55FD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6D55FD" w:rsidRDefault="006D55FD" w:rsidP="00473E4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73E4A" w:rsidRPr="0067603F" w:rsidRDefault="00473E4A" w:rsidP="00473E4A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67603F">
        <w:rPr>
          <w:rFonts w:ascii="Times New Roman" w:hAnsi="Times New Roman" w:cs="Times New Roman"/>
          <w:b w:val="0"/>
          <w:szCs w:val="24"/>
        </w:rPr>
        <w:t>НАПРАВЛЕНИЯ РАСХОДОВАНИЯ ЦЕЛЕВЫХ СРЕДСТВ</w:t>
      </w:r>
    </w:p>
    <w:p w:rsidR="00473E4A" w:rsidRPr="0067603F" w:rsidRDefault="00473E4A" w:rsidP="00473E4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5"/>
        <w:gridCol w:w="3005"/>
        <w:gridCol w:w="1685"/>
        <w:gridCol w:w="2283"/>
        <w:gridCol w:w="6815"/>
      </w:tblGrid>
      <w:tr w:rsidR="00473E4A" w:rsidRPr="0067603F" w:rsidTr="006D55FD">
        <w:trPr>
          <w:trHeight w:val="391"/>
        </w:trPr>
        <w:tc>
          <w:tcPr>
            <w:tcW w:w="343" w:type="pct"/>
            <w:vMerge w:val="restart"/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54" w:type="pct"/>
            <w:gridSpan w:val="3"/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Направление расходования целевых средств</w:t>
            </w:r>
          </w:p>
        </w:tc>
        <w:tc>
          <w:tcPr>
            <w:tcW w:w="2302" w:type="pct"/>
            <w:vMerge w:val="restart"/>
          </w:tcPr>
          <w:p w:rsidR="00790C83" w:rsidRPr="0067603F" w:rsidRDefault="00790C8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55FD" w:rsidRPr="0067603F" w:rsidRDefault="00473E4A" w:rsidP="006D55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Наименование выплат, указываемых в распоряжениях,</w:t>
            </w:r>
          </w:p>
          <w:p w:rsidR="00473E4A" w:rsidRPr="0067603F" w:rsidRDefault="009A499A" w:rsidP="006D55F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Платежных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документах</w:t>
            </w:r>
            <w:proofErr w:type="gramEnd"/>
          </w:p>
        </w:tc>
      </w:tr>
      <w:tr w:rsidR="00473E4A" w:rsidRPr="0067603F" w:rsidTr="006D55FD">
        <w:trPr>
          <w:trHeight w:val="499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69" w:type="pct"/>
          </w:tcPr>
          <w:p w:rsidR="00473E4A" w:rsidRPr="0067603F" w:rsidRDefault="000428B8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укруп</w:t>
            </w:r>
            <w:r w:rsidR="00473E4A" w:rsidRPr="0067603F">
              <w:rPr>
                <w:rFonts w:ascii="Times New Roman" w:hAnsi="Times New Roman" w:cs="Times New Roman"/>
                <w:szCs w:val="24"/>
              </w:rPr>
              <w:t>ненный код</w:t>
            </w:r>
          </w:p>
        </w:tc>
        <w:tc>
          <w:tcPr>
            <w:tcW w:w="771" w:type="pct"/>
          </w:tcPr>
          <w:p w:rsidR="00473E4A" w:rsidRPr="0067603F" w:rsidRDefault="00473E4A" w:rsidP="0024658B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7603F">
              <w:rPr>
                <w:rFonts w:ascii="Times New Roman" w:hAnsi="Times New Roman"/>
                <w:lang w:val="ru-RU"/>
              </w:rPr>
              <w:t>детализированный код</w:t>
            </w:r>
          </w:p>
        </w:tc>
        <w:tc>
          <w:tcPr>
            <w:tcW w:w="2302" w:type="pct"/>
            <w:vMerge/>
          </w:tcPr>
          <w:p w:rsidR="00473E4A" w:rsidRPr="0067603F" w:rsidRDefault="00473E4A" w:rsidP="00790C83">
            <w:pPr>
              <w:rPr>
                <w:rFonts w:ascii="Times New Roman" w:hAnsi="Times New Roman"/>
              </w:rPr>
            </w:pPr>
          </w:p>
        </w:tc>
      </w:tr>
      <w:tr w:rsidR="00473E4A" w:rsidRPr="0067603F" w:rsidTr="006D55FD">
        <w:trPr>
          <w:trHeight w:val="20"/>
        </w:trPr>
        <w:tc>
          <w:tcPr>
            <w:tcW w:w="343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75E49" w:rsidRPr="0067603F" w:rsidTr="006D55FD">
        <w:trPr>
          <w:trHeight w:val="2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персоналу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P714"/>
            <w:bookmarkEnd w:id="1"/>
            <w:r w:rsidRPr="0067603F">
              <w:rPr>
                <w:rFonts w:ascii="Times New Roman" w:hAnsi="Times New Roman" w:cs="Times New Roman"/>
                <w:szCs w:val="24"/>
              </w:rPr>
              <w:t>0100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Заработная плата:</w:t>
            </w:r>
          </w:p>
        </w:tc>
      </w:tr>
      <w:tr w:rsidR="00B75E49" w:rsidRPr="000C1BA9" w:rsidTr="006D55FD">
        <w:trPr>
          <w:trHeight w:val="82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выплата заработной платы, осуществляемая на основе договоров (контрактов), в соответствии с трудовым законодательством, лицам, участвующим в процессе поставки товаров, выполнения работ, оказания услуг.</w:t>
            </w:r>
          </w:p>
        </w:tc>
      </w:tr>
      <w:tr w:rsidR="00B75E49" w:rsidRPr="0067603F" w:rsidTr="006D55FD">
        <w:tblPrEx>
          <w:tblBorders>
            <w:insideH w:val="nil"/>
          </w:tblBorders>
        </w:tblPrEx>
        <w:trPr>
          <w:trHeight w:val="16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выплаты:</w:t>
            </w:r>
          </w:p>
        </w:tc>
      </w:tr>
      <w:tr w:rsidR="00B75E49" w:rsidRPr="000C1BA9" w:rsidTr="006D55FD">
        <w:tblPrEx>
          <w:tblBorders>
            <w:insideH w:val="nil"/>
          </w:tblBorders>
        </w:tblPrEx>
        <w:trPr>
          <w:trHeight w:val="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выплаты работодателя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в пользу работников, не относящиеся к заработной плате, дополнительные выплаты, пособия и компе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сации, обусловленные условиями трудовых отношений;</w:t>
            </w:r>
          </w:p>
        </w:tc>
      </w:tr>
      <w:tr w:rsidR="00B75E49" w:rsidRPr="000C1BA9" w:rsidTr="006D55FD">
        <w:tblPrEx>
          <w:tblBorders>
            <w:insideH w:val="nil"/>
          </w:tblBorders>
        </w:tblPrEx>
        <w:trPr>
          <w:trHeight w:val="27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компенсация найма (поднайма) жилых помещений;</w:t>
            </w:r>
          </w:p>
        </w:tc>
      </w:tr>
      <w:tr w:rsidR="00B75E49" w:rsidRPr="000C1BA9" w:rsidTr="006D55FD">
        <w:tblPrEx>
          <w:tblBorders>
            <w:insideH w:val="nil"/>
          </w:tblBorders>
        </w:tblPrEx>
        <w:trPr>
          <w:trHeight w:val="176"/>
        </w:trPr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компенсация за использование личного транспорта для служе</w:t>
            </w:r>
            <w:r w:rsidRPr="0067603F">
              <w:rPr>
                <w:rFonts w:ascii="Times New Roman" w:hAnsi="Times New Roman" w:cs="Times New Roman"/>
                <w:szCs w:val="24"/>
              </w:rPr>
              <w:t>б</w:t>
            </w:r>
            <w:r w:rsidRPr="0067603F">
              <w:rPr>
                <w:rFonts w:ascii="Times New Roman" w:hAnsi="Times New Roman" w:cs="Times New Roman"/>
                <w:szCs w:val="24"/>
              </w:rPr>
              <w:t>ных целей;</w:t>
            </w:r>
          </w:p>
        </w:tc>
      </w:tr>
      <w:tr w:rsidR="00B75E49" w:rsidRPr="000C1BA9" w:rsidTr="006D55FD">
        <w:tblPrEx>
          <w:tblBorders>
            <w:insideH w:val="nil"/>
          </w:tblBorders>
        </w:tblPrEx>
        <w:trPr>
          <w:trHeight w:val="36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выплаты, за исключением выплат, связа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ных с командированием работников (сотрудников).</w:t>
            </w:r>
          </w:p>
        </w:tc>
      </w:tr>
      <w:tr w:rsidR="00B75E49" w:rsidRPr="000C1BA9" w:rsidTr="006D55FD">
        <w:trPr>
          <w:trHeight w:val="27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Начисления на выплаты по оплате труда:</w:t>
            </w:r>
          </w:p>
        </w:tc>
      </w:tr>
      <w:tr w:rsidR="00B75E49" w:rsidRPr="000C1BA9" w:rsidTr="006D55FD">
        <w:trPr>
          <w:trHeight w:val="2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пособия, выплачиваемые работодателем за счет средств Фонда социального страхования Российской Федерации штатным р</w:t>
            </w:r>
            <w:r w:rsidRPr="0067603F">
              <w:rPr>
                <w:rFonts w:ascii="Times New Roman" w:hAnsi="Times New Roman" w:cs="Times New Roman"/>
                <w:szCs w:val="24"/>
              </w:rPr>
              <w:t>а</w:t>
            </w:r>
            <w:r w:rsidRPr="0067603F">
              <w:rPr>
                <w:rFonts w:ascii="Times New Roman" w:hAnsi="Times New Roman" w:cs="Times New Roman"/>
                <w:szCs w:val="24"/>
              </w:rPr>
              <w:t>ботникам;</w:t>
            </w:r>
          </w:p>
        </w:tc>
      </w:tr>
      <w:tr w:rsidR="00B75E49" w:rsidRPr="000C1BA9" w:rsidTr="006D55FD">
        <w:trPr>
          <w:trHeight w:val="87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доходы физических лиц, в том числе с выплат физическим лицам в связи с выполнением ими работ (оказанием ими услуг) на основании договоров гражданско-правового х</w:t>
            </w:r>
            <w:r w:rsidRPr="0067603F">
              <w:rPr>
                <w:rFonts w:ascii="Times New Roman" w:hAnsi="Times New Roman" w:cs="Times New Roman"/>
                <w:szCs w:val="24"/>
              </w:rPr>
              <w:t>а</w:t>
            </w:r>
            <w:r w:rsidRPr="0067603F">
              <w:rPr>
                <w:rFonts w:ascii="Times New Roman" w:hAnsi="Times New Roman" w:cs="Times New Roman"/>
                <w:szCs w:val="24"/>
              </w:rPr>
              <w:t>рактера;</w:t>
            </w:r>
          </w:p>
        </w:tc>
      </w:tr>
      <w:tr w:rsidR="00B75E49" w:rsidRPr="000C1BA9" w:rsidTr="006D55FD">
        <w:trPr>
          <w:trHeight w:val="723"/>
        </w:trPr>
        <w:tc>
          <w:tcPr>
            <w:tcW w:w="3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E49" w:rsidRPr="0067603F" w:rsidRDefault="00B75E49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75E49" w:rsidRPr="0067603F" w:rsidRDefault="00B75E49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49" w:rsidRPr="0067603F" w:rsidRDefault="00B75E49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0100 007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E49" w:rsidRPr="0067603F" w:rsidRDefault="00B75E49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выплаты, связанные с начислением на выплаты по оплате труда, в том числе оплата пособия по временной нетрудосп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собности, другие аналогичные выплаты.</w:t>
            </w:r>
          </w:p>
        </w:tc>
      </w:tr>
      <w:tr w:rsidR="000428B8" w:rsidRPr="000C1BA9" w:rsidTr="006D55FD">
        <w:trPr>
          <w:trHeight w:val="163"/>
        </w:trPr>
        <w:tc>
          <w:tcPr>
            <w:tcW w:w="343" w:type="pct"/>
            <w:vMerge w:val="restart"/>
            <w:tcBorders>
              <w:top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</w:tcBorders>
          </w:tcPr>
          <w:p w:rsidR="006D55FD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pacing w:val="-16"/>
                <w:szCs w:val="24"/>
              </w:rPr>
              <w:t>Закупка работ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 и услуг</w:t>
            </w:r>
            <w:r w:rsidRPr="0067603F">
              <w:rPr>
                <w:rStyle w:val="a5"/>
                <w:rFonts w:ascii="Times New Roman" w:hAnsi="Times New Roman" w:cs="Times New Roman"/>
                <w:szCs w:val="24"/>
              </w:rPr>
              <w:footnoteReference w:id="1"/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 (за исключением выплат на капитальные вложения), в том числе на основании </w:t>
            </w:r>
          </w:p>
          <w:p w:rsidR="006D55FD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договора гражданско-</w:t>
            </w: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 xml:space="preserve">правового характера, </w:t>
            </w:r>
          </w:p>
          <w:p w:rsidR="006D55FD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исполнителем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по которому является физическое лицо или индивидуальный </w:t>
            </w:r>
          </w:p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предприниматель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>0200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на приобретение услуг связи:</w:t>
            </w:r>
          </w:p>
        </w:tc>
      </w:tr>
      <w:tr w:rsidR="000428B8" w:rsidRPr="000C1BA9" w:rsidTr="006D55FD">
        <w:trPr>
          <w:trHeight w:val="255"/>
        </w:trPr>
        <w:tc>
          <w:tcPr>
            <w:tcW w:w="343" w:type="pct"/>
            <w:vMerge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почтовой связи, в том числе подписка на периодические издания;</w:t>
            </w:r>
          </w:p>
        </w:tc>
      </w:tr>
      <w:tr w:rsidR="000428B8" w:rsidRPr="000C1BA9" w:rsidTr="006D55FD">
        <w:trPr>
          <w:trHeight w:val="178"/>
        </w:trPr>
        <w:tc>
          <w:tcPr>
            <w:tcW w:w="343" w:type="pct"/>
            <w:vMerge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0200 002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фельдъегерской и специальной связи;</w:t>
            </w:r>
          </w:p>
        </w:tc>
      </w:tr>
      <w:tr w:rsidR="000428B8" w:rsidRPr="000C1BA9" w:rsidTr="006D55FD">
        <w:trPr>
          <w:trHeight w:val="637"/>
        </w:trPr>
        <w:tc>
          <w:tcPr>
            <w:tcW w:w="343" w:type="pct"/>
            <w:vMerge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0200 003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телефонно-телеграфной, факсимильной, сотовой, пе</w:t>
            </w:r>
            <w:r w:rsidRPr="0067603F">
              <w:rPr>
                <w:rFonts w:ascii="Times New Roman" w:hAnsi="Times New Roman" w:cs="Times New Roman"/>
                <w:szCs w:val="24"/>
              </w:rPr>
              <w:t>й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джинговой связи, радиосвязи, </w:t>
            </w:r>
            <w:proofErr w:type="spellStart"/>
            <w:r w:rsidRPr="0067603F">
              <w:rPr>
                <w:rFonts w:ascii="Times New Roman" w:hAnsi="Times New Roman" w:cs="Times New Roman"/>
                <w:szCs w:val="24"/>
              </w:rPr>
              <w:t>интернет-провайдеров</w:t>
            </w:r>
            <w:proofErr w:type="spellEnd"/>
            <w:r w:rsidRPr="0067603F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0428B8" w:rsidRPr="0067603F" w:rsidTr="006D55FD">
        <w:trPr>
          <w:trHeight w:val="71"/>
        </w:trPr>
        <w:tc>
          <w:tcPr>
            <w:tcW w:w="343" w:type="pct"/>
            <w:vMerge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0200 004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123"/>
        </w:trPr>
        <w:tc>
          <w:tcPr>
            <w:tcW w:w="343" w:type="pct"/>
            <w:vMerge/>
          </w:tcPr>
          <w:p w:rsidR="000428B8" w:rsidRPr="0067603F" w:rsidRDefault="000428B8" w:rsidP="00790C83">
            <w:pPr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на приобретение транспортных услуг, в том числе: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501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0200 005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провозная плата по контрактам (договорам) перевозки пассаж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ров и багажа;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704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0200 006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pacing w:val="-8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pacing w:val="-8"/>
                <w:szCs w:val="24"/>
              </w:rPr>
              <w:t>плата за перевозку (доставку) грузов (отправлений) по контрактам (договорам) перевозки (доставки, фрахтования);</w:t>
            </w:r>
            <w:proofErr w:type="gramEnd"/>
          </w:p>
        </w:tc>
      </w:tr>
      <w:tr w:rsidR="000428B8" w:rsidRPr="0067603F" w:rsidTr="006D55FD">
        <w:tblPrEx>
          <w:tblBorders>
            <w:insideH w:val="nil"/>
          </w:tblBorders>
        </w:tblPrEx>
        <w:trPr>
          <w:trHeight w:val="317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0200 007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выплаты.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332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на приобретение коммунальных услуг для нужд пол</w:t>
            </w:r>
            <w:r w:rsidRPr="0067603F">
              <w:rPr>
                <w:rFonts w:ascii="Times New Roman" w:hAnsi="Times New Roman" w:cs="Times New Roman"/>
                <w:szCs w:val="24"/>
              </w:rPr>
              <w:t>у</w:t>
            </w:r>
            <w:r w:rsidRPr="0067603F">
              <w:rPr>
                <w:rFonts w:ascii="Times New Roman" w:hAnsi="Times New Roman" w:cs="Times New Roman"/>
                <w:szCs w:val="24"/>
              </w:rPr>
              <w:t>чателя целевых средств: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211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услуг отопления, горячего и холодного водоснабжения, предоставления газа и электроэнергии;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138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выплаты по оплате коммунальных услуг;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1006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оплате арендной платы в соответствии с заключе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ными контрактами (договорами) аренды, в том числе финанс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вой аренды (лизинга)  имущественного найма объектов осно</w:t>
            </w:r>
            <w:r w:rsidRPr="0067603F">
              <w:rPr>
                <w:rFonts w:ascii="Times New Roman" w:hAnsi="Times New Roman" w:cs="Times New Roman"/>
                <w:szCs w:val="24"/>
              </w:rPr>
              <w:t>в</w:t>
            </w:r>
            <w:r w:rsidRPr="0067603F">
              <w:rPr>
                <w:rFonts w:ascii="Times New Roman" w:hAnsi="Times New Roman" w:cs="Times New Roman"/>
                <w:szCs w:val="24"/>
              </w:rPr>
              <w:t>ных средств, связанных непосредственно с поставкой товаров, выполнением работ, оказания услуг.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998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Выплаты по оплате контрактов (договоров) на выполнение р</w:t>
            </w:r>
            <w:r w:rsidRPr="0067603F">
              <w:rPr>
                <w:rFonts w:ascii="Times New Roman" w:hAnsi="Times New Roman" w:cs="Times New Roman"/>
                <w:szCs w:val="24"/>
              </w:rPr>
              <w:t>а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бот, оказание услуг, связанных с содержанием, эксплуатацией, обслуживанием, ремонтом (текущим и капитальным) зданий, помещений, основных средств, связанных непосредственно с поставкой товаров, выполнением работ, оказанием услуг: </w:t>
            </w:r>
            <w:proofErr w:type="gramEnd"/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363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содержание нефинансовых активов в чистоте;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245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ремонт (текущий и капитальный) и реставрация нефинансовых активов; 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318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0200 015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противопожарные мероприятия, связанные с содержанием им</w:t>
            </w:r>
            <w:r w:rsidRPr="0067603F">
              <w:rPr>
                <w:rFonts w:ascii="Times New Roman" w:hAnsi="Times New Roman" w:cs="Times New Roman"/>
                <w:szCs w:val="24"/>
              </w:rPr>
              <w:t>у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щества; 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863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0200 016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pacing w:val="-8"/>
                <w:szCs w:val="24"/>
              </w:rPr>
              <w:t>работы по переносу (переустройству, присоединению</w:t>
            </w:r>
            <w:r w:rsidRPr="0067603F">
              <w:rPr>
                <w:rFonts w:ascii="Times New Roman" w:hAnsi="Times New Roman" w:cs="Times New Roman"/>
                <w:szCs w:val="24"/>
              </w:rPr>
              <w:t>) принадл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жащих юридическим лицам инженерных сетей, коммуникаций, сооружений в соответствии с законодательством Российской Федерации о градостроительной деятельности;</w:t>
            </w:r>
          </w:p>
        </w:tc>
      </w:tr>
      <w:tr w:rsidR="000428B8" w:rsidRPr="0067603F" w:rsidTr="006D55FD">
        <w:tblPrEx>
          <w:tblBorders>
            <w:insideH w:val="nil"/>
          </w:tblBorders>
        </w:tblPrEx>
        <w:trPr>
          <w:trHeight w:val="229"/>
        </w:trPr>
        <w:tc>
          <w:tcPr>
            <w:tcW w:w="343" w:type="pct"/>
          </w:tcPr>
          <w:p w:rsidR="000428B8" w:rsidRPr="0067603F" w:rsidRDefault="000428B8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tcBorders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0200 017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выплаты.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в области информационных технологий, непосредстве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но связанные с поставкой товаров, выполнением работ, оказан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ем услуг, в том числе: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461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0200 018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обеспечение безопасности информации и </w:t>
            </w:r>
            <w:proofErr w:type="spellStart"/>
            <w:r w:rsidRPr="0067603F">
              <w:rPr>
                <w:rFonts w:ascii="Times New Roman" w:hAnsi="Times New Roman" w:cs="Times New Roman"/>
                <w:szCs w:val="24"/>
              </w:rPr>
              <w:t>режимно</w:t>
            </w:r>
            <w:proofErr w:type="spellEnd"/>
            <w:r w:rsidRPr="0067603F">
              <w:rPr>
                <w:rFonts w:ascii="Times New Roman" w:hAnsi="Times New Roman" w:cs="Times New Roman"/>
                <w:szCs w:val="24"/>
              </w:rPr>
              <w:t>-секретных мероприятий;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519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0200 019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pacing w:val="-6"/>
                <w:szCs w:val="24"/>
              </w:rPr>
            </w:pPr>
            <w:r w:rsidRPr="0067603F">
              <w:rPr>
                <w:rFonts w:ascii="Times New Roman" w:hAnsi="Times New Roman" w:cs="Times New Roman"/>
                <w:spacing w:val="-6"/>
                <w:szCs w:val="24"/>
              </w:rPr>
              <w:t>приобретение неисключительных (пользовательских), лицензио</w:t>
            </w:r>
            <w:r w:rsidRPr="0067603F">
              <w:rPr>
                <w:rFonts w:ascii="Times New Roman" w:hAnsi="Times New Roman" w:cs="Times New Roman"/>
                <w:spacing w:val="-6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pacing w:val="-6"/>
                <w:szCs w:val="24"/>
              </w:rPr>
              <w:t>ных прав на программное обеспечение;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приобретение и обновление справочно-информационных баз </w:t>
            </w: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>данных;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tcBorders>
              <w:top w:val="nil"/>
              <w:bottom w:val="nil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выплаты, связанные с оказанием услуг в области информационных технологий.</w:t>
            </w:r>
          </w:p>
        </w:tc>
      </w:tr>
      <w:tr w:rsidR="000428B8" w:rsidRPr="0067603F" w:rsidTr="006D55FD">
        <w:tblPrEx>
          <w:tblBorders>
            <w:insideH w:val="nil"/>
          </w:tblBorders>
        </w:tblPrEx>
        <w:trPr>
          <w:trHeight w:val="263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работы, услуги: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670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геолого-разведочные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работы, услуги по тип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вому проектированию, проектные и изыскательские работы; </w:t>
            </w:r>
          </w:p>
        </w:tc>
      </w:tr>
      <w:tr w:rsidR="000428B8" w:rsidRPr="0067603F" w:rsidTr="006D55FD">
        <w:tblPrEx>
          <w:tblBorders>
            <w:insideH w:val="nil"/>
          </w:tblBorders>
        </w:tblPrEx>
        <w:trPr>
          <w:trHeight w:val="238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монтажные работы;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512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страхованию имущества, гражданской ответственн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сти и здоровья;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187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0200 025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Del="001B6A5C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формированию корпоративного имиджа;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187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0200 026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проведению маркетинговых исследований;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265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0200 027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предоставлению выписок из государственных р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естров; 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342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0200 028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рекламного характера (в том числе размещение объявл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ний в средствах массовой информации);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551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0200 029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агентов по операциям с государственными (муниципал</w:t>
            </w:r>
            <w:r w:rsidRPr="0067603F">
              <w:rPr>
                <w:rFonts w:ascii="Times New Roman" w:hAnsi="Times New Roman" w:cs="Times New Roman"/>
                <w:szCs w:val="24"/>
              </w:rPr>
              <w:t>ь</w:t>
            </w:r>
            <w:r w:rsidRPr="0067603F">
              <w:rPr>
                <w:rFonts w:ascii="Times New Roman" w:hAnsi="Times New Roman" w:cs="Times New Roman"/>
                <w:szCs w:val="24"/>
              </w:rPr>
              <w:t>ными) активами и обязательствами;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353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0200 030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юридических и адвокатских услуг;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20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0200 031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обеспечению исполнения гарантийных обязательств (в том числе по взысканию задолженности по выданным гара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тиям);</w:t>
            </w:r>
          </w:p>
        </w:tc>
      </w:tr>
      <w:tr w:rsidR="000428B8" w:rsidRPr="000C1BA9" w:rsidTr="006D55FD">
        <w:tblPrEx>
          <w:tblBorders>
            <w:insideH w:val="nil"/>
          </w:tblBorders>
        </w:tblPrEx>
        <w:trPr>
          <w:trHeight w:val="595"/>
        </w:trPr>
        <w:tc>
          <w:tcPr>
            <w:tcW w:w="343" w:type="pct"/>
          </w:tcPr>
          <w:p w:rsidR="000428B8" w:rsidRPr="0067603F" w:rsidRDefault="000428B8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</w:tcPr>
          <w:p w:rsidR="000428B8" w:rsidRPr="0067603F" w:rsidRDefault="000428B8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0428B8" w:rsidRPr="0067603F" w:rsidRDefault="000428B8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0200 032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8B8" w:rsidRPr="0067603F" w:rsidRDefault="000428B8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другие аналогичные выплаты, связанные с закупкой товаров, работ, услуг.</w:t>
            </w:r>
          </w:p>
        </w:tc>
      </w:tr>
      <w:tr w:rsidR="00865A8B" w:rsidRPr="000C1BA9" w:rsidTr="006D55FD">
        <w:trPr>
          <w:trHeight w:val="223"/>
        </w:trPr>
        <w:tc>
          <w:tcPr>
            <w:tcW w:w="343" w:type="pct"/>
            <w:vMerge w:val="restar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</w:tcBorders>
          </w:tcPr>
          <w:p w:rsidR="006D55FD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Закупка непроизведенных активов, нематериальных активов, материальных </w:t>
            </w:r>
          </w:p>
          <w:p w:rsidR="006D55FD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 xml:space="preserve">запасов и основных средств и прочих активов (за </w:t>
            </w:r>
            <w:proofErr w:type="gramEnd"/>
          </w:p>
          <w:p w:rsidR="006D55FD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исключением выплат на капитальные вложения), в том числе на основании </w:t>
            </w:r>
          </w:p>
          <w:p w:rsidR="006D55FD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договора гражданско-правового характера, </w:t>
            </w:r>
          </w:p>
          <w:p w:rsidR="006D55FD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исполнителем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по которому является физическое лицо или индивидуальный </w:t>
            </w:r>
          </w:p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предприниматель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Выплаты на увеличение стоимости непроизведенных активов, права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собственности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на которые должны быть установлены и законодательно закреплены.</w:t>
            </w:r>
          </w:p>
        </w:tc>
      </w:tr>
      <w:tr w:rsidR="00865A8B" w:rsidRPr="000C1BA9" w:rsidTr="006D55FD">
        <w:trPr>
          <w:trHeight w:val="1053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Выплаты неинвентарного характера (не связанные с бюджетн</w:t>
            </w:r>
            <w:r w:rsidRPr="0067603F">
              <w:rPr>
                <w:rFonts w:ascii="Times New Roman" w:hAnsi="Times New Roman" w:cs="Times New Roman"/>
                <w:szCs w:val="24"/>
              </w:rPr>
              <w:t>ы</w:t>
            </w:r>
            <w:r w:rsidRPr="0067603F">
              <w:rPr>
                <w:rFonts w:ascii="Times New Roman" w:hAnsi="Times New Roman" w:cs="Times New Roman"/>
                <w:szCs w:val="24"/>
              </w:rPr>
              <w:t>ми инвестициями в объекты капитального строительства) на культурно-технические мероприятия по поверхностному улу</w:t>
            </w:r>
            <w:r w:rsidRPr="0067603F">
              <w:rPr>
                <w:rFonts w:ascii="Times New Roman" w:hAnsi="Times New Roman" w:cs="Times New Roman"/>
                <w:szCs w:val="24"/>
              </w:rPr>
              <w:t>ч</w:t>
            </w:r>
            <w:r w:rsidRPr="0067603F">
              <w:rPr>
                <w:rFonts w:ascii="Times New Roman" w:hAnsi="Times New Roman" w:cs="Times New Roman"/>
                <w:szCs w:val="24"/>
              </w:rPr>
              <w:t>шению земель для сельскохозяйственного пользования, прои</w:t>
            </w:r>
            <w:r w:rsidRPr="0067603F">
              <w:rPr>
                <w:rFonts w:ascii="Times New Roman" w:hAnsi="Times New Roman" w:cs="Times New Roman"/>
                <w:szCs w:val="24"/>
              </w:rPr>
              <w:t>з</w:t>
            </w:r>
            <w:r w:rsidRPr="0067603F">
              <w:rPr>
                <w:rFonts w:ascii="Times New Roman" w:hAnsi="Times New Roman" w:cs="Times New Roman"/>
                <w:szCs w:val="24"/>
              </w:rPr>
              <w:t>водимые за счет капитальных вложений (планировка земельных участков, корчевка площадей под пашню, очистка полей от ка</w:t>
            </w:r>
            <w:r w:rsidRPr="0067603F">
              <w:rPr>
                <w:rFonts w:ascii="Times New Roman" w:hAnsi="Times New Roman" w:cs="Times New Roman"/>
                <w:szCs w:val="24"/>
              </w:rPr>
              <w:t>м</w:t>
            </w:r>
            <w:r w:rsidRPr="0067603F">
              <w:rPr>
                <w:rFonts w:ascii="Times New Roman" w:hAnsi="Times New Roman" w:cs="Times New Roman"/>
                <w:szCs w:val="24"/>
              </w:rPr>
              <w:t>ней и валунов, срезание кочек, расчистка зарослей, очистка в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доемов, мелиоративные, осушительные, ирригационные и др</w:t>
            </w:r>
            <w:r w:rsidRPr="0067603F">
              <w:rPr>
                <w:rFonts w:ascii="Times New Roman" w:hAnsi="Times New Roman" w:cs="Times New Roman"/>
                <w:szCs w:val="24"/>
              </w:rPr>
              <w:t>у</w:t>
            </w:r>
            <w:r w:rsidRPr="0067603F">
              <w:rPr>
                <w:rFonts w:ascii="Times New Roman" w:hAnsi="Times New Roman" w:cs="Times New Roman"/>
                <w:szCs w:val="24"/>
              </w:rPr>
              <w:t>гие работы, которые неотделимы от земли), за исключением зданий и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сооружений, построенных на этой земле (например, дорог, тоннелей, административных зданий), насаждений, по</w:t>
            </w:r>
            <w:r w:rsidRPr="0067603F">
              <w:rPr>
                <w:rFonts w:ascii="Times New Roman" w:hAnsi="Times New Roman" w:cs="Times New Roman"/>
                <w:szCs w:val="24"/>
              </w:rPr>
              <w:t>д</w:t>
            </w:r>
            <w:r w:rsidRPr="0067603F">
              <w:rPr>
                <w:rFonts w:ascii="Times New Roman" w:hAnsi="Times New Roman" w:cs="Times New Roman"/>
                <w:szCs w:val="24"/>
              </w:rPr>
              <w:t>земных водных или биологических ресурсов.</w:t>
            </w:r>
          </w:p>
        </w:tc>
      </w:tr>
      <w:tr w:rsidR="00865A8B" w:rsidRPr="000C1BA9" w:rsidTr="006D55FD">
        <w:trPr>
          <w:trHeight w:val="512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0300 030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выплаты, относящиеся к увеличению стоимости непрои</w:t>
            </w:r>
            <w:r w:rsidRPr="0067603F">
              <w:rPr>
                <w:rFonts w:ascii="Times New Roman" w:hAnsi="Times New Roman" w:cs="Times New Roman"/>
                <w:szCs w:val="24"/>
              </w:rPr>
              <w:t>з</w:t>
            </w:r>
            <w:r w:rsidRPr="0067603F">
              <w:rPr>
                <w:rFonts w:ascii="Times New Roman" w:hAnsi="Times New Roman" w:cs="Times New Roman"/>
                <w:szCs w:val="24"/>
              </w:rPr>
              <w:t>веденных активов.</w:t>
            </w:r>
          </w:p>
        </w:tc>
      </w:tr>
      <w:tr w:rsidR="00865A8B" w:rsidRPr="0067603F" w:rsidTr="006D55FD">
        <w:trPr>
          <w:trHeight w:val="187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Увеличение стоимости нематериальных активов:</w:t>
            </w:r>
          </w:p>
        </w:tc>
      </w:tr>
      <w:tr w:rsidR="00865A8B" w:rsidRPr="000C1BA9" w:rsidTr="006D55FD">
        <w:tblPrEx>
          <w:tblBorders>
            <w:insideH w:val="nil"/>
          </w:tblBorders>
        </w:tblPrEx>
        <w:trPr>
          <w:trHeight w:val="87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оплате контрактов (договоров) на приобретение и</w:t>
            </w:r>
            <w:r w:rsidRPr="0067603F">
              <w:rPr>
                <w:rFonts w:ascii="Times New Roman" w:hAnsi="Times New Roman" w:cs="Times New Roman"/>
                <w:szCs w:val="24"/>
              </w:rPr>
              <w:t>с</w:t>
            </w:r>
            <w:r w:rsidRPr="0067603F">
              <w:rPr>
                <w:rFonts w:ascii="Times New Roman" w:hAnsi="Times New Roman" w:cs="Times New Roman"/>
                <w:szCs w:val="24"/>
              </w:rPr>
              <w:t>ключительных прав на результаты интеллектуальной деятельн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сти или средства индивидуализации, в том числе: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580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 программное обеспечение и базы данных для электронных вычислительных машин;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350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 товарные знаки и знаки обслуживания;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245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0300 005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 «ноу-хау» и объекты смежных прав;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694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0300 006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 научные разработки и изобретения, промышленные образцы и полезные модели;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293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0300 007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затраты на специальную технологическую оснастку;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331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0300 031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выплаты, относящиеся к увеличению стоимости нематер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альных активов.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214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Увеличение стоимости материальных запасов: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819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оплате контрактов (договоров) на приобретение (и</w:t>
            </w:r>
            <w:r w:rsidRPr="0067603F">
              <w:rPr>
                <w:rFonts w:ascii="Times New Roman" w:hAnsi="Times New Roman" w:cs="Times New Roman"/>
                <w:szCs w:val="24"/>
              </w:rPr>
              <w:t>з</w:t>
            </w:r>
            <w:r w:rsidRPr="0067603F">
              <w:rPr>
                <w:rFonts w:ascii="Times New Roman" w:hAnsi="Times New Roman" w:cs="Times New Roman"/>
                <w:szCs w:val="24"/>
              </w:rPr>
              <w:t>готовление) объектов, относящихся к материальным запасам: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261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0300 008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сырье и (или) основные материалы;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313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0300 009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вспомогательные материалы;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195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покупные полуфабрикаты;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234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покупные комплектующие изделия;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318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тара (невозвратная) и упаковка;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211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тара (возвратная);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641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затраты на подготовку и освоение производства;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665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0300 015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затраты на изделия собственного производства;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161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0300 016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специальные затраты;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659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0300 017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топливо на технологические цели;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135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0300 018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запасные части;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43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0300 019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материалы, переданные в переработку на сторону;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307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0300 020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строительные материалы;</w:t>
            </w:r>
          </w:p>
        </w:tc>
      </w:tr>
      <w:tr w:rsidR="0064097F" w:rsidRPr="000C1BA9" w:rsidTr="006D55FD">
        <w:tblPrEx>
          <w:tblBorders>
            <w:insideH w:val="nil"/>
          </w:tblBorders>
        </w:tblPrEx>
        <w:trPr>
          <w:trHeight w:val="485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специальная оснастка и специальная одежда на складе и в эк</w:t>
            </w:r>
            <w:r w:rsidRPr="0067603F">
              <w:rPr>
                <w:rFonts w:ascii="Times New Roman" w:hAnsi="Times New Roman" w:cs="Times New Roman"/>
                <w:szCs w:val="24"/>
              </w:rPr>
              <w:t>с</w:t>
            </w:r>
            <w:r w:rsidRPr="0067603F">
              <w:rPr>
                <w:rFonts w:ascii="Times New Roman" w:hAnsi="Times New Roman" w:cs="Times New Roman"/>
                <w:szCs w:val="24"/>
              </w:rPr>
              <w:t>плуатации;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20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0300 033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продукты питания;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750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0300 034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активы, предназначенные для продажи;</w:t>
            </w:r>
          </w:p>
        </w:tc>
      </w:tr>
      <w:tr w:rsidR="0064097F" w:rsidRPr="0067603F" w:rsidTr="006D55FD">
        <w:tblPrEx>
          <w:tblBorders>
            <w:insideH w:val="nil"/>
          </w:tblBorders>
        </w:tblPrEx>
        <w:trPr>
          <w:trHeight w:val="297"/>
        </w:trPr>
        <w:tc>
          <w:tcPr>
            <w:tcW w:w="343" w:type="pct"/>
          </w:tcPr>
          <w:p w:rsidR="0064097F" w:rsidRPr="0067603F" w:rsidRDefault="0064097F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</w:tcPr>
          <w:p w:rsidR="0064097F" w:rsidRPr="0067603F" w:rsidRDefault="0064097F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shd w:val="clear" w:color="auto" w:fill="auto"/>
          </w:tcPr>
          <w:p w:rsidR="0064097F" w:rsidRPr="0067603F" w:rsidRDefault="0064097F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:rsidR="0064097F" w:rsidRPr="0067603F" w:rsidRDefault="0064097F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97F" w:rsidRPr="0067603F" w:rsidRDefault="0064097F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материальные затраты.</w:t>
            </w:r>
          </w:p>
        </w:tc>
      </w:tr>
      <w:tr w:rsidR="00865A8B" w:rsidRPr="0067603F" w:rsidTr="006D55FD">
        <w:tblPrEx>
          <w:tblBorders>
            <w:insideH w:val="nil"/>
          </w:tblBorders>
        </w:tblPrEx>
        <w:trPr>
          <w:trHeight w:val="272"/>
        </w:trPr>
        <w:tc>
          <w:tcPr>
            <w:tcW w:w="343" w:type="pct"/>
            <w:vMerge w:val="restart"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 w:val="restart"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Увеличение стоимости основных средств:</w:t>
            </w:r>
          </w:p>
        </w:tc>
      </w:tr>
      <w:tr w:rsidR="00865A8B" w:rsidRPr="0067603F" w:rsidTr="006D55FD"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0300 023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здания и сооружения;</w:t>
            </w:r>
          </w:p>
        </w:tc>
      </w:tr>
      <w:tr w:rsidR="00865A8B" w:rsidRPr="0067603F" w:rsidTr="006D55FD"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0300 024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машины и оборудование;</w:t>
            </w:r>
          </w:p>
        </w:tc>
      </w:tr>
      <w:tr w:rsidR="00865A8B" w:rsidRPr="0067603F" w:rsidTr="006D55FD">
        <w:trPr>
          <w:trHeight w:val="509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0300 025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транспортные средства;</w:t>
            </w:r>
          </w:p>
        </w:tc>
      </w:tr>
      <w:tr w:rsidR="00865A8B" w:rsidRPr="000C1BA9" w:rsidTr="006D55FD"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0300 026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информационное, компьютерное и телекоммуникационное (ИКТ) оборудование;</w:t>
            </w:r>
          </w:p>
        </w:tc>
      </w:tr>
      <w:tr w:rsidR="00865A8B" w:rsidRPr="000C1BA9" w:rsidTr="006D55FD"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0300 027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производственный и продуктивный, племенной и рабочий скот;</w:t>
            </w:r>
          </w:p>
        </w:tc>
      </w:tr>
      <w:tr w:rsidR="00865A8B" w:rsidRPr="0067603F" w:rsidTr="006D55FD">
        <w:trPr>
          <w:trHeight w:val="443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0300 028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инвентарь и хозяйственные принадлежности;</w:t>
            </w:r>
          </w:p>
        </w:tc>
      </w:tr>
      <w:tr w:rsidR="00865A8B" w:rsidRPr="000C1BA9" w:rsidTr="006D55FD">
        <w:trPr>
          <w:trHeight w:val="479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0300 029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выплаты, относящиеся к увеличению стоимости основных средств.</w:t>
            </w:r>
          </w:p>
        </w:tc>
      </w:tr>
      <w:tr w:rsidR="00865A8B" w:rsidRPr="000C1BA9" w:rsidTr="006D55FD">
        <w:trPr>
          <w:trHeight w:val="45"/>
        </w:trPr>
        <w:tc>
          <w:tcPr>
            <w:tcW w:w="343" w:type="pct"/>
            <w:vMerge/>
          </w:tcPr>
          <w:p w:rsidR="00865A8B" w:rsidRPr="0067603F" w:rsidRDefault="00865A8B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865A8B" w:rsidRPr="0067603F" w:rsidRDefault="00865A8B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65A8B" w:rsidRPr="0067603F" w:rsidRDefault="00865A8B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865A8B" w:rsidRPr="0067603F" w:rsidRDefault="00865A8B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0300 032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865A8B" w:rsidRPr="0067603F" w:rsidRDefault="00865A8B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на увеличение стоимости прочих активов.</w:t>
            </w:r>
          </w:p>
        </w:tc>
      </w:tr>
      <w:tr w:rsidR="00532773" w:rsidRPr="000C1BA9" w:rsidTr="006D55FD">
        <w:tc>
          <w:tcPr>
            <w:tcW w:w="343" w:type="pct"/>
            <w:vMerge w:val="restar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015" w:type="pct"/>
            <w:vMerge w:val="restart"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Капитальные вложения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</w:t>
            </w: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оплате контрактов, договоров на строительство (р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конструкцию, в том числе с элементами реставрации, технич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ского перевооружения) объектов капитального строительства, или приобретения объектов недвижимого имущества, в том чи</w:t>
            </w:r>
            <w:r w:rsidRPr="0067603F">
              <w:rPr>
                <w:rFonts w:ascii="Times New Roman" w:hAnsi="Times New Roman" w:cs="Times New Roman"/>
                <w:szCs w:val="24"/>
              </w:rPr>
              <w:t>с</w:t>
            </w:r>
            <w:r w:rsidRPr="0067603F">
              <w:rPr>
                <w:rFonts w:ascii="Times New Roman" w:hAnsi="Times New Roman" w:cs="Times New Roman"/>
                <w:szCs w:val="24"/>
              </w:rPr>
              <w:t>ле:</w:t>
            </w:r>
          </w:p>
        </w:tc>
      </w:tr>
      <w:tr w:rsidR="00532773" w:rsidRPr="0067603F" w:rsidTr="006D55FD">
        <w:trPr>
          <w:trHeight w:val="261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0410 001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строительные работы;</w:t>
            </w:r>
          </w:p>
        </w:tc>
      </w:tr>
      <w:tr w:rsidR="00532773" w:rsidRPr="0067603F" w:rsidTr="006D55FD">
        <w:trPr>
          <w:trHeight w:val="307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0410 002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монтажные работы;</w:t>
            </w:r>
          </w:p>
        </w:tc>
      </w:tr>
      <w:tr w:rsidR="00532773" w:rsidRPr="0067603F" w:rsidTr="006D55FD">
        <w:trPr>
          <w:trHeight w:val="59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0410 008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строительно-монтажные работы;</w:t>
            </w:r>
          </w:p>
        </w:tc>
      </w:tr>
      <w:tr w:rsidR="00532773" w:rsidRPr="000C1BA9" w:rsidTr="006D55FD">
        <w:trPr>
          <w:trHeight w:val="279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0410 003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услуги по типовому проектированию, проектные и изыскател</w:t>
            </w:r>
            <w:r w:rsidRPr="0067603F">
              <w:rPr>
                <w:rFonts w:ascii="Times New Roman" w:hAnsi="Times New Roman" w:cs="Times New Roman"/>
                <w:szCs w:val="24"/>
              </w:rPr>
              <w:t>ь</w:t>
            </w:r>
            <w:r w:rsidRPr="0067603F">
              <w:rPr>
                <w:rFonts w:ascii="Times New Roman" w:hAnsi="Times New Roman" w:cs="Times New Roman"/>
                <w:szCs w:val="24"/>
              </w:rPr>
              <w:t>ские работы;</w:t>
            </w:r>
          </w:p>
        </w:tc>
      </w:tr>
      <w:tr w:rsidR="00532773" w:rsidRPr="0067603F" w:rsidTr="006D55FD"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0410 004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оборудование;</w:t>
            </w:r>
          </w:p>
        </w:tc>
      </w:tr>
      <w:tr w:rsidR="00532773" w:rsidRPr="0067603F" w:rsidTr="006D55FD">
        <w:trPr>
          <w:trHeight w:val="438"/>
        </w:trPr>
        <w:tc>
          <w:tcPr>
            <w:tcW w:w="343" w:type="pct"/>
            <w:vMerge w:val="restar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0410 005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инструменты и инвентарь;</w:t>
            </w:r>
          </w:p>
        </w:tc>
      </w:tr>
      <w:tr w:rsidR="00532773" w:rsidRPr="0067603F" w:rsidTr="006D55FD">
        <w:trPr>
          <w:trHeight w:val="504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0410 006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строительные материалы;</w:t>
            </w:r>
          </w:p>
        </w:tc>
      </w:tr>
      <w:tr w:rsidR="00532773" w:rsidRPr="0067603F" w:rsidTr="006D55FD">
        <w:trPr>
          <w:trHeight w:val="238"/>
        </w:trPr>
        <w:tc>
          <w:tcPr>
            <w:tcW w:w="343" w:type="pct"/>
            <w:vMerge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532773" w:rsidRPr="0067603F" w:rsidRDefault="00532773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532773" w:rsidRPr="0067603F" w:rsidRDefault="00532773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0410 007</w:t>
            </w:r>
          </w:p>
        </w:tc>
        <w:tc>
          <w:tcPr>
            <w:tcW w:w="2302" w:type="pct"/>
            <w:shd w:val="clear" w:color="auto" w:fill="auto"/>
          </w:tcPr>
          <w:p w:rsidR="00532773" w:rsidRPr="0067603F" w:rsidRDefault="00532773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работы и затраты.</w:t>
            </w:r>
          </w:p>
        </w:tc>
      </w:tr>
      <w:tr w:rsidR="00473E4A" w:rsidRPr="000C1BA9" w:rsidTr="006D55FD">
        <w:trPr>
          <w:trHeight w:val="797"/>
        </w:trPr>
        <w:tc>
          <w:tcPr>
            <w:tcW w:w="343" w:type="pct"/>
            <w:vMerge w:val="restar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015" w:type="pct"/>
            <w:vMerge w:val="restar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Выплаты по перечислению средств в качестве взноса в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уставный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(складочный) </w:t>
            </w:r>
          </w:p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капитал, вкладов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имущество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другой</w:t>
            </w:r>
            <w:proofErr w:type="gramEnd"/>
          </w:p>
          <w:p w:rsidR="00473E4A" w:rsidRPr="0067603F" w:rsidRDefault="006D55FD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="00473E4A" w:rsidRPr="0067603F">
              <w:rPr>
                <w:rFonts w:ascii="Times New Roman" w:hAnsi="Times New Roman" w:cs="Times New Roman"/>
                <w:szCs w:val="24"/>
              </w:rPr>
              <w:t>рганизации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0420</w:t>
            </w:r>
          </w:p>
        </w:tc>
        <w:tc>
          <w:tcPr>
            <w:tcW w:w="771" w:type="pct"/>
            <w:vAlign w:val="center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0420 001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сре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дств в к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ачестве взноса в уставный (складочный) капитал другой организации.</w:t>
            </w:r>
          </w:p>
        </w:tc>
      </w:tr>
      <w:tr w:rsidR="00473E4A" w:rsidRPr="000C1BA9" w:rsidTr="006D55FD">
        <w:trPr>
          <w:trHeight w:val="976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0420 002</w:t>
            </w:r>
          </w:p>
        </w:tc>
        <w:tc>
          <w:tcPr>
            <w:tcW w:w="2302" w:type="pct"/>
            <w:shd w:val="clear" w:color="auto" w:fill="auto"/>
            <w:vAlign w:val="center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вкладов в имущество другой орган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зации их учредителями.</w:t>
            </w:r>
          </w:p>
        </w:tc>
      </w:tr>
      <w:tr w:rsidR="00473E4A" w:rsidRPr="000C1BA9" w:rsidTr="006D55FD">
        <w:trPr>
          <w:trHeight w:val="229"/>
        </w:trPr>
        <w:tc>
          <w:tcPr>
            <w:tcW w:w="343" w:type="pct"/>
            <w:vMerge w:val="restar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015" w:type="pct"/>
            <w:vMerge w:val="restar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Выбытие со счетов </w:t>
            </w:r>
          </w:p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 xml:space="preserve">авансовых платежей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контрактам (договорам)</w:t>
            </w:r>
            <w:r w:rsidRPr="0067603F">
              <w:rPr>
                <w:rStyle w:val="a5"/>
                <w:rFonts w:ascii="Times New Roman" w:hAnsi="Times New Roman" w:cs="Times New Roman"/>
                <w:szCs w:val="24"/>
              </w:rPr>
              <w:footnoteReference w:id="2"/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>0610</w:t>
            </w:r>
          </w:p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перечислению: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 xml:space="preserve">авансовых платежей по контрактам (договорам), в том числе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473E4A" w:rsidRPr="0067603F" w:rsidTr="006D55FD">
        <w:trPr>
          <w:trHeight w:val="429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0610 001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оказание услуг;</w:t>
            </w:r>
          </w:p>
        </w:tc>
      </w:tr>
      <w:tr w:rsidR="00473E4A" w:rsidRPr="0067603F" w:rsidTr="006D55FD">
        <w:trPr>
          <w:trHeight w:val="535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0610 002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выполнение работ;</w:t>
            </w:r>
          </w:p>
        </w:tc>
      </w:tr>
      <w:tr w:rsidR="00473E4A" w:rsidRPr="000C1BA9" w:rsidTr="006D55FD">
        <w:trPr>
          <w:trHeight w:val="499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0610 003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материальные затраты (сырье, материалы, оборудование, инве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тарь и </w:t>
            </w:r>
            <w:proofErr w:type="spellStart"/>
            <w:r w:rsidRPr="0067603F">
              <w:rPr>
                <w:rFonts w:ascii="Times New Roman" w:hAnsi="Times New Roman" w:cs="Times New Roman"/>
                <w:szCs w:val="24"/>
              </w:rPr>
              <w:t>т.д</w:t>
            </w:r>
            <w:proofErr w:type="spellEnd"/>
            <w:r w:rsidRPr="0067603F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73E4A" w:rsidRPr="000C1BA9" w:rsidTr="006D55FD">
        <w:trPr>
          <w:trHeight w:val="294"/>
        </w:trPr>
        <w:tc>
          <w:tcPr>
            <w:tcW w:w="343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015" w:type="pc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Выбытие со счетов средств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обособленным</w:t>
            </w:r>
            <w:proofErr w:type="gramEnd"/>
          </w:p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(структурным) 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подразделениям</w:t>
            </w:r>
          </w:p>
        </w:tc>
        <w:tc>
          <w:tcPr>
            <w:tcW w:w="569" w:type="pc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0620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0620 001</w:t>
            </w:r>
          </w:p>
        </w:tc>
        <w:tc>
          <w:tcPr>
            <w:tcW w:w="2302" w:type="pct"/>
            <w:tcBorders>
              <w:top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средств обособленным (структу</w:t>
            </w:r>
            <w:r w:rsidRPr="0067603F">
              <w:rPr>
                <w:rFonts w:ascii="Times New Roman" w:hAnsi="Times New Roman" w:cs="Times New Roman"/>
                <w:szCs w:val="24"/>
              </w:rPr>
              <w:t>р</w:t>
            </w:r>
            <w:r w:rsidRPr="0067603F">
              <w:rPr>
                <w:rFonts w:ascii="Times New Roman" w:hAnsi="Times New Roman" w:cs="Times New Roman"/>
                <w:szCs w:val="24"/>
              </w:rPr>
              <w:t>ным) подразделениям.</w:t>
            </w:r>
          </w:p>
        </w:tc>
      </w:tr>
      <w:tr w:rsidR="00473E4A" w:rsidRPr="000C1BA9" w:rsidTr="006D55FD">
        <w:trPr>
          <w:trHeight w:val="1026"/>
        </w:trPr>
        <w:tc>
          <w:tcPr>
            <w:tcW w:w="343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1015" w:type="pct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сре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дств в ц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елях их разм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щения на депозиты, в иные финансовые инструменты (по договорам займа)</w:t>
            </w:r>
          </w:p>
        </w:tc>
        <w:tc>
          <w:tcPr>
            <w:tcW w:w="569" w:type="pc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0630</w:t>
            </w:r>
          </w:p>
        </w:tc>
        <w:tc>
          <w:tcPr>
            <w:tcW w:w="771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0630 001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сре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дств в ц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елях их размещения на депозиты, в иные финансовые инструменты (по договорам за</w:t>
            </w:r>
            <w:r w:rsidRPr="0067603F">
              <w:rPr>
                <w:rFonts w:ascii="Times New Roman" w:hAnsi="Times New Roman" w:cs="Times New Roman"/>
                <w:szCs w:val="24"/>
              </w:rPr>
              <w:t>й</w:t>
            </w:r>
            <w:r w:rsidRPr="0067603F">
              <w:rPr>
                <w:rFonts w:ascii="Times New Roman" w:hAnsi="Times New Roman" w:cs="Times New Roman"/>
                <w:szCs w:val="24"/>
              </w:rPr>
              <w:t>ма).</w:t>
            </w:r>
          </w:p>
        </w:tc>
      </w:tr>
      <w:tr w:rsidR="00473E4A" w:rsidRPr="000C1BA9" w:rsidTr="006D55FD">
        <w:tc>
          <w:tcPr>
            <w:tcW w:w="343" w:type="pct"/>
            <w:vMerge w:val="restar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1015" w:type="pct"/>
            <w:vMerge w:val="restart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за счет процентов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0631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за счет процентов, поступивших от размещения средств на депозиты, а также доходов, полученных по операц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ям с иными финансовыми инструментами (процентов, пост</w:t>
            </w:r>
            <w:r w:rsidRPr="0067603F">
              <w:rPr>
                <w:rFonts w:ascii="Times New Roman" w:hAnsi="Times New Roman" w:cs="Times New Roman"/>
                <w:szCs w:val="24"/>
              </w:rPr>
              <w:t>у</w:t>
            </w:r>
            <w:r w:rsidRPr="0067603F">
              <w:rPr>
                <w:rFonts w:ascii="Times New Roman" w:hAnsi="Times New Roman" w:cs="Times New Roman"/>
                <w:szCs w:val="24"/>
              </w:rPr>
              <w:t>пивших по договорам займа):</w:t>
            </w:r>
          </w:p>
        </w:tc>
      </w:tr>
      <w:tr w:rsidR="00473E4A" w:rsidRPr="0067603F" w:rsidTr="006D55FD">
        <w:trPr>
          <w:trHeight w:val="383"/>
        </w:trPr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0631 002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труда персонала</w:t>
            </w:r>
          </w:p>
        </w:tc>
      </w:tr>
      <w:tr w:rsidR="00473E4A" w:rsidRPr="000C1BA9" w:rsidTr="006D55FD"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0631 003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доходы физических лиц;</w:t>
            </w:r>
          </w:p>
        </w:tc>
      </w:tr>
      <w:tr w:rsidR="00473E4A" w:rsidRPr="000C1BA9" w:rsidTr="006D55FD"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0631 004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473E4A" w:rsidRPr="000C1BA9" w:rsidTr="006D55FD">
        <w:tc>
          <w:tcPr>
            <w:tcW w:w="343" w:type="pct"/>
            <w:vMerge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0631 005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выплаты, осуществляемые за счет процентов, поступи</w:t>
            </w:r>
            <w:r w:rsidRPr="0067603F">
              <w:rPr>
                <w:rFonts w:ascii="Times New Roman" w:hAnsi="Times New Roman" w:cs="Times New Roman"/>
                <w:szCs w:val="24"/>
              </w:rPr>
              <w:t>в</w:t>
            </w:r>
            <w:r w:rsidRPr="0067603F">
              <w:rPr>
                <w:rFonts w:ascii="Times New Roman" w:hAnsi="Times New Roman" w:cs="Times New Roman"/>
                <w:szCs w:val="24"/>
              </w:rPr>
              <w:t>ших от размещения средств на депозиты, а также доходов, п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лученных по операциям с иными финансовыми инструментами (процентов, поступивших по договорам займа)</w:t>
            </w:r>
          </w:p>
        </w:tc>
      </w:tr>
      <w:tr w:rsidR="00473E4A" w:rsidRPr="000C1BA9" w:rsidTr="006D55FD">
        <w:trPr>
          <w:trHeight w:val="685"/>
        </w:trPr>
        <w:tc>
          <w:tcPr>
            <w:tcW w:w="343" w:type="pct"/>
            <w:vMerge w:val="restar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1015" w:type="pct"/>
            <w:vMerge w:val="restar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Уплата налогов, сборов и иных платежей в бюджеты бюджетной системы 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Российской Федерации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0810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налогов, сборов и иных платежей в бюджеты бюджетной системы  Российской Федерации (за исключением налога на д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бавленную стоимость, налога на доходы физических лиц):</w:t>
            </w:r>
          </w:p>
        </w:tc>
      </w:tr>
      <w:tr w:rsidR="00473E4A" w:rsidRPr="0067603F" w:rsidTr="006D55FD">
        <w:trPr>
          <w:trHeight w:val="295"/>
        </w:trPr>
        <w:tc>
          <w:tcPr>
            <w:tcW w:w="343" w:type="pct"/>
            <w:vMerge/>
          </w:tcPr>
          <w:p w:rsidR="00473E4A" w:rsidRPr="0067603F" w:rsidDel="008F3BD3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0810 001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налог на прибыль;</w:t>
            </w:r>
          </w:p>
        </w:tc>
      </w:tr>
      <w:tr w:rsidR="00473E4A" w:rsidRPr="000C1BA9" w:rsidTr="006D55FD">
        <w:trPr>
          <w:trHeight w:val="87"/>
        </w:trPr>
        <w:tc>
          <w:tcPr>
            <w:tcW w:w="343" w:type="pct"/>
            <w:vMerge/>
          </w:tcPr>
          <w:p w:rsidR="00473E4A" w:rsidRPr="0067603F" w:rsidDel="008F3BD3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0810 002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государственная пошлина и сборы, включая государственную пошлину за совершение действий, связанных с лицензирован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ем;</w:t>
            </w:r>
          </w:p>
        </w:tc>
      </w:tr>
      <w:tr w:rsidR="00473E4A" w:rsidRPr="0067603F" w:rsidTr="006D55FD">
        <w:trPr>
          <w:trHeight w:val="312"/>
        </w:trPr>
        <w:tc>
          <w:tcPr>
            <w:tcW w:w="343" w:type="pct"/>
            <w:vMerge/>
          </w:tcPr>
          <w:p w:rsidR="00473E4A" w:rsidRPr="0067603F" w:rsidDel="008F3BD3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0810 003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земельный налог;</w:t>
            </w:r>
          </w:p>
        </w:tc>
      </w:tr>
      <w:tr w:rsidR="00473E4A" w:rsidRPr="000C1BA9" w:rsidTr="006D55FD">
        <w:trPr>
          <w:trHeight w:val="489"/>
        </w:trPr>
        <w:tc>
          <w:tcPr>
            <w:tcW w:w="343" w:type="pct"/>
            <w:vMerge/>
          </w:tcPr>
          <w:p w:rsidR="00473E4A" w:rsidRPr="0067603F" w:rsidDel="008F3BD3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0810 004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иных платежей в бюджеты бюджетной системы Росси</w:t>
            </w:r>
            <w:r w:rsidRPr="0067603F">
              <w:rPr>
                <w:rFonts w:ascii="Times New Roman" w:hAnsi="Times New Roman" w:cs="Times New Roman"/>
                <w:szCs w:val="24"/>
              </w:rPr>
              <w:t>й</w:t>
            </w:r>
            <w:r w:rsidRPr="0067603F">
              <w:rPr>
                <w:rFonts w:ascii="Times New Roman" w:hAnsi="Times New Roman" w:cs="Times New Roman"/>
                <w:szCs w:val="24"/>
              </w:rPr>
              <w:t>ской Федерации.</w:t>
            </w:r>
          </w:p>
        </w:tc>
      </w:tr>
      <w:tr w:rsidR="00473E4A" w:rsidRPr="000C1BA9" w:rsidTr="006D55FD">
        <w:trPr>
          <w:trHeight w:val="301"/>
        </w:trPr>
        <w:tc>
          <w:tcPr>
            <w:tcW w:w="343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Налог на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добавленную</w:t>
            </w:r>
            <w:proofErr w:type="gramEnd"/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стоимость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0811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0811 001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добавленную стоимость.</w:t>
            </w:r>
          </w:p>
        </w:tc>
      </w:tr>
      <w:tr w:rsidR="00473E4A" w:rsidRPr="000C1BA9" w:rsidTr="006D55FD"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Страховые взносы на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об</w:t>
            </w:r>
            <w:r w:rsidRPr="0067603F">
              <w:rPr>
                <w:rFonts w:ascii="Times New Roman" w:hAnsi="Times New Roman" w:cs="Times New Roman"/>
                <w:szCs w:val="24"/>
              </w:rPr>
              <w:t>я</w:t>
            </w:r>
            <w:r w:rsidRPr="0067603F">
              <w:rPr>
                <w:rFonts w:ascii="Times New Roman" w:hAnsi="Times New Roman" w:cs="Times New Roman"/>
                <w:szCs w:val="24"/>
              </w:rPr>
              <w:t>зательное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 xml:space="preserve"> социальное 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страхование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0813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0813 001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страховых взносов на обязательное социальное страх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вание, относящихся к оплате труда персонала,  участвующего в процессе поставки товаров, выполнения работ, оказания услуг.</w:t>
            </w:r>
          </w:p>
        </w:tc>
      </w:tr>
      <w:tr w:rsidR="00473E4A" w:rsidRPr="000C1BA9" w:rsidTr="006D55FD"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 xml:space="preserve">13. 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Страховые взносы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обязательное пенсионное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страхование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0814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CCFF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0814 001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страховых взносов на обязательное пенсионное страх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вание, относящихся к оплате труда персонала, участвующего в процессе производства товаров, выполнения работ, оказания услуг, в том числе с выплат физическим лицам в связи с выпо</w:t>
            </w:r>
            <w:r w:rsidRPr="0067603F">
              <w:rPr>
                <w:rFonts w:ascii="Times New Roman" w:hAnsi="Times New Roman" w:cs="Times New Roman"/>
                <w:szCs w:val="24"/>
              </w:rPr>
              <w:t>л</w:t>
            </w:r>
            <w:r w:rsidRPr="0067603F">
              <w:rPr>
                <w:rFonts w:ascii="Times New Roman" w:hAnsi="Times New Roman" w:cs="Times New Roman"/>
                <w:szCs w:val="24"/>
              </w:rPr>
              <w:t>нением ими работ (оказанием ими услуг) на основании догов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ров гражданско-правового характера.</w:t>
            </w:r>
          </w:p>
        </w:tc>
      </w:tr>
      <w:tr w:rsidR="00473E4A" w:rsidRPr="000C1BA9" w:rsidTr="006D55FD"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14. 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Страховые взносы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обязательное медицинское страхование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0815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shd w:val="clear" w:color="auto" w:fill="FFCCFF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0815 001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страховых взносов на обязательное медицинское страх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вание, относящихся к оплате труда персонала, участвующего в процессе производства товаров, выполнения работ, оказания услуг, в том числе с выплат физическим лицам в связи с выпо</w:t>
            </w:r>
            <w:r w:rsidRPr="0067603F">
              <w:rPr>
                <w:rFonts w:ascii="Times New Roman" w:hAnsi="Times New Roman" w:cs="Times New Roman"/>
                <w:szCs w:val="24"/>
              </w:rPr>
              <w:t>л</w:t>
            </w:r>
            <w:r w:rsidRPr="0067603F">
              <w:rPr>
                <w:rFonts w:ascii="Times New Roman" w:hAnsi="Times New Roman" w:cs="Times New Roman"/>
                <w:szCs w:val="24"/>
              </w:rPr>
              <w:t>нением ими работ (оказанием ими услуг) на основании догов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ров гражданско-правового характера.</w:t>
            </w:r>
          </w:p>
        </w:tc>
      </w:tr>
      <w:tr w:rsidR="000A3EA1" w:rsidRPr="000C1BA9" w:rsidTr="006D55FD">
        <w:trPr>
          <w:trHeight w:val="695"/>
        </w:trPr>
        <w:tc>
          <w:tcPr>
            <w:tcW w:w="343" w:type="pct"/>
            <w:vMerge w:val="restar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1015" w:type="pct"/>
            <w:vMerge w:val="restart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</w:t>
            </w:r>
          </w:p>
        </w:tc>
        <w:tc>
          <w:tcPr>
            <w:tcW w:w="569" w:type="pct"/>
            <w:vMerge w:val="restar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816"/>
            <w:bookmarkEnd w:id="2"/>
            <w:r w:rsidRPr="0067603F">
              <w:rPr>
                <w:rFonts w:ascii="Times New Roman" w:hAnsi="Times New Roman" w:cs="Times New Roman"/>
                <w:szCs w:val="24"/>
              </w:rPr>
              <w:t>0820</w:t>
            </w: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Выплаты, не связанные с оплатой авансовых платежей по ко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трактам (договорам), в том числе:</w:t>
            </w:r>
          </w:p>
        </w:tc>
      </w:tr>
      <w:tr w:rsidR="000A3EA1" w:rsidRPr="0067603F" w:rsidTr="006D55FD">
        <w:trPr>
          <w:trHeight w:val="314"/>
        </w:trPr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0820 001</w:t>
            </w: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грантов;</w:t>
            </w:r>
          </w:p>
        </w:tc>
      </w:tr>
      <w:tr w:rsidR="000A3EA1" w:rsidRPr="000C1BA9" w:rsidTr="006D55FD">
        <w:trPr>
          <w:trHeight w:val="673"/>
        </w:trPr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0820 002</w:t>
            </w: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таможенному представителю на возмещение затрат по уплате ввозной таможенной пошлины и налога на добавленную стоимость;</w:t>
            </w:r>
          </w:p>
        </w:tc>
      </w:tr>
      <w:tr w:rsidR="000A3EA1" w:rsidRPr="000C1BA9" w:rsidTr="006D55FD">
        <w:trPr>
          <w:trHeight w:val="20"/>
        </w:trPr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0820 003</w:t>
            </w:r>
          </w:p>
        </w:tc>
        <w:tc>
          <w:tcPr>
            <w:tcW w:w="2302" w:type="pct"/>
            <w:tcBorders>
              <w:bottom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выплаты, связанные с командированием работников (сотрудн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ков).</w:t>
            </w:r>
          </w:p>
        </w:tc>
      </w:tr>
      <w:tr w:rsidR="000A3EA1" w:rsidRPr="0067603F" w:rsidTr="006D55FD">
        <w:trPr>
          <w:trHeight w:val="209"/>
        </w:trPr>
        <w:tc>
          <w:tcPr>
            <w:tcW w:w="343" w:type="pct"/>
            <w:vMerge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Возмещение убытков и вреда:</w:t>
            </w:r>
          </w:p>
        </w:tc>
      </w:tr>
      <w:tr w:rsidR="000A3EA1" w:rsidRPr="000C1BA9" w:rsidTr="006D55FD">
        <w:trPr>
          <w:trHeight w:val="20"/>
        </w:trPr>
        <w:tc>
          <w:tcPr>
            <w:tcW w:w="343" w:type="pct"/>
            <w:vMerge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0820 004</w:t>
            </w: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возмещение морального вреда по решению судебных органов;</w:t>
            </w:r>
          </w:p>
        </w:tc>
      </w:tr>
      <w:tr w:rsidR="000A3EA1" w:rsidRPr="000C1BA9" w:rsidTr="006D55FD">
        <w:trPr>
          <w:trHeight w:val="787"/>
        </w:trPr>
        <w:tc>
          <w:tcPr>
            <w:tcW w:w="343" w:type="pct"/>
            <w:vMerge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0820 005</w:t>
            </w: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решениям судебных органов, включая штрафы, п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ни, иные платежи, в том числе по трудовым спорам;</w:t>
            </w:r>
          </w:p>
        </w:tc>
      </w:tr>
      <w:tr w:rsidR="000A3EA1" w:rsidRPr="000C1BA9" w:rsidTr="006D55FD">
        <w:trPr>
          <w:trHeight w:val="96"/>
        </w:trPr>
        <w:tc>
          <w:tcPr>
            <w:tcW w:w="343" w:type="pct"/>
            <w:vMerge w:val="restart"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 w:val="restart"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 w:val="restart"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0820 006</w:t>
            </w: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компенсационные выплаты за невыполнение условий квотир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вания;</w:t>
            </w:r>
          </w:p>
        </w:tc>
      </w:tr>
      <w:tr w:rsidR="000A3EA1" w:rsidRPr="0067603F" w:rsidTr="006D55FD">
        <w:trPr>
          <w:trHeight w:val="31"/>
        </w:trPr>
        <w:tc>
          <w:tcPr>
            <w:tcW w:w="343" w:type="pct"/>
            <w:vMerge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0820 007</w:t>
            </w: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судебных издержек;</w:t>
            </w:r>
          </w:p>
        </w:tc>
      </w:tr>
      <w:tr w:rsidR="000A3EA1" w:rsidRPr="000C1BA9" w:rsidTr="006D55FD">
        <w:trPr>
          <w:trHeight w:val="109"/>
        </w:trPr>
        <w:tc>
          <w:tcPr>
            <w:tcW w:w="343" w:type="pct"/>
            <w:vMerge/>
          </w:tcPr>
          <w:p w:rsidR="000A3EA1" w:rsidRPr="0067603F" w:rsidRDefault="000A3EA1" w:rsidP="00790C8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pct"/>
            <w:vMerge/>
          </w:tcPr>
          <w:p w:rsidR="000A3EA1" w:rsidRPr="0067603F" w:rsidRDefault="000A3EA1" w:rsidP="00790C8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0820 008</w:t>
            </w:r>
          </w:p>
        </w:tc>
        <w:tc>
          <w:tcPr>
            <w:tcW w:w="2302" w:type="pct"/>
            <w:tcBorders>
              <w:top w:val="single" w:sz="4" w:space="0" w:color="auto"/>
            </w:tcBorders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иные выплаты, не отнесенные к направлениям расходования ц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 xml:space="preserve">левых средств по </w:t>
            </w:r>
            <w:hyperlink w:anchor="P714" w:history="1">
              <w:r w:rsidRPr="0067603F">
                <w:rPr>
                  <w:rFonts w:ascii="Times New Roman" w:hAnsi="Times New Roman" w:cs="Times New Roman"/>
                  <w:szCs w:val="24"/>
                </w:rPr>
                <w:t>кодам 0100</w:t>
              </w:r>
            </w:hyperlink>
            <w:r w:rsidRPr="0067603F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w:anchor="P816" w:history="1">
              <w:r w:rsidRPr="0067603F">
                <w:rPr>
                  <w:rFonts w:ascii="Times New Roman" w:hAnsi="Times New Roman" w:cs="Times New Roman"/>
                  <w:szCs w:val="24"/>
                </w:rPr>
                <w:t>0820</w:t>
              </w:r>
            </w:hyperlink>
            <w:r w:rsidRPr="0067603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A3EA1" w:rsidRPr="0067603F" w:rsidTr="006D55FD">
        <w:trPr>
          <w:trHeight w:val="133"/>
        </w:trPr>
        <w:tc>
          <w:tcPr>
            <w:tcW w:w="343" w:type="pct"/>
            <w:vMerge w:val="restar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1015" w:type="pct"/>
            <w:vMerge w:val="restart"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Накладные расходы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</w:t>
            </w: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Общепроизводственные затраты: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0888 001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труда персонала, связанного с управлением и обслуж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ванием производства;</w:t>
            </w:r>
          </w:p>
        </w:tc>
      </w:tr>
      <w:tr w:rsidR="000A3EA1" w:rsidRPr="000C1BA9" w:rsidTr="006D55FD">
        <w:trPr>
          <w:trHeight w:val="872"/>
        </w:trPr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0888 017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работ и (или) услуг, выполняемых сторонними организ</w:t>
            </w:r>
            <w:r w:rsidRPr="0067603F">
              <w:rPr>
                <w:rFonts w:ascii="Times New Roman" w:hAnsi="Times New Roman" w:cs="Times New Roman"/>
                <w:szCs w:val="24"/>
              </w:rPr>
              <w:t>а</w:t>
            </w:r>
            <w:r w:rsidRPr="0067603F">
              <w:rPr>
                <w:rFonts w:ascii="Times New Roman" w:hAnsi="Times New Roman" w:cs="Times New Roman"/>
                <w:szCs w:val="24"/>
              </w:rPr>
              <w:t>циями или индивидуальными предпринимателями, физическими лицами, в том числе по договорам гражданско-правового хара</w:t>
            </w:r>
            <w:r w:rsidRPr="0067603F">
              <w:rPr>
                <w:rFonts w:ascii="Times New Roman" w:hAnsi="Times New Roman" w:cs="Times New Roman"/>
                <w:szCs w:val="24"/>
              </w:rPr>
              <w:t>к</w:t>
            </w:r>
            <w:r w:rsidRPr="0067603F">
              <w:rPr>
                <w:rFonts w:ascii="Times New Roman" w:hAnsi="Times New Roman" w:cs="Times New Roman"/>
                <w:szCs w:val="24"/>
              </w:rPr>
              <w:t>тера;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0888 018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доходы физических лиц;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0888 002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0888 003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затраты общепроизводственного назначения.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Общехозяйственные затраты: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0888 019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работы и (или) услуги, выполняемые сторонними организаци</w:t>
            </w:r>
            <w:r w:rsidRPr="0067603F">
              <w:rPr>
                <w:rFonts w:ascii="Times New Roman" w:hAnsi="Times New Roman" w:cs="Times New Roman"/>
                <w:szCs w:val="24"/>
              </w:rPr>
              <w:t>я</w:t>
            </w:r>
            <w:r w:rsidRPr="0067603F">
              <w:rPr>
                <w:rFonts w:ascii="Times New Roman" w:hAnsi="Times New Roman" w:cs="Times New Roman"/>
                <w:szCs w:val="24"/>
              </w:rPr>
              <w:t>ми или индивидуальными предпринимателями, физическими лицами, в том числе по договорам гражданско-правового хара</w:t>
            </w:r>
            <w:r w:rsidRPr="0067603F">
              <w:rPr>
                <w:rFonts w:ascii="Times New Roman" w:hAnsi="Times New Roman" w:cs="Times New Roman"/>
                <w:szCs w:val="24"/>
              </w:rPr>
              <w:t>к</w:t>
            </w:r>
            <w:r w:rsidRPr="0067603F">
              <w:rPr>
                <w:rFonts w:ascii="Times New Roman" w:hAnsi="Times New Roman" w:cs="Times New Roman"/>
                <w:szCs w:val="24"/>
              </w:rPr>
              <w:t>тера;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0888 020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доходы физических лиц;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0888 021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0888 005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затраты на консультационные услуги;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0888 006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затраты на содержание и ремонт зданий, сооружений, инвентаря и иного имущества общехозяйственного назначения;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0888 007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арендная плата за помещения общехозяйственного назначения;</w:t>
            </w:r>
          </w:p>
        </w:tc>
      </w:tr>
      <w:tr w:rsidR="000A3EA1" w:rsidRPr="000C1BA9" w:rsidTr="006D55FD">
        <w:tc>
          <w:tcPr>
            <w:tcW w:w="343" w:type="pct"/>
            <w:vMerge w:val="restart"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0888 008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расходы по обслуживанию транспортных средств;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0888 009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расходы на услуги связи;</w:t>
            </w:r>
          </w:p>
        </w:tc>
      </w:tr>
      <w:tr w:rsidR="000A3EA1" w:rsidRPr="000C1BA9" w:rsidTr="006D55FD">
        <w:trPr>
          <w:trHeight w:val="692"/>
        </w:trPr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0888 010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коммунальные услуги, получение которых связано с выполн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нием государственного (муниципального) контракта, договора (соглашения), контракта (договора);</w:t>
            </w:r>
            <w:proofErr w:type="gramEnd"/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0888 011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затраты общехозяйственного назначения.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Административно-управленческие расходы: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0888 012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работы и (или) услуги, выполняемые сторонними организаци</w:t>
            </w:r>
            <w:r w:rsidRPr="0067603F">
              <w:rPr>
                <w:rFonts w:ascii="Times New Roman" w:hAnsi="Times New Roman" w:cs="Times New Roman"/>
                <w:szCs w:val="24"/>
              </w:rPr>
              <w:t>я</w:t>
            </w:r>
            <w:r w:rsidRPr="0067603F">
              <w:rPr>
                <w:rFonts w:ascii="Times New Roman" w:hAnsi="Times New Roman" w:cs="Times New Roman"/>
                <w:szCs w:val="24"/>
              </w:rPr>
              <w:t>ми или индивидуальными предпринимателями, физическими лицами, в том числе по договорам гражданско-правового хара</w:t>
            </w:r>
            <w:r w:rsidRPr="0067603F">
              <w:rPr>
                <w:rFonts w:ascii="Times New Roman" w:hAnsi="Times New Roman" w:cs="Times New Roman"/>
                <w:szCs w:val="24"/>
              </w:rPr>
              <w:t>к</w:t>
            </w:r>
            <w:r w:rsidRPr="0067603F">
              <w:rPr>
                <w:rFonts w:ascii="Times New Roman" w:hAnsi="Times New Roman" w:cs="Times New Roman"/>
                <w:szCs w:val="24"/>
              </w:rPr>
              <w:t>тера;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0888 013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оплата труда административно-управленческого персонала;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0888 022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Del="005D5C64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уплата налога на доходы физических лиц;</w:t>
            </w:r>
          </w:p>
        </w:tc>
      </w:tr>
      <w:tr w:rsidR="000A3EA1" w:rsidRPr="000C1BA9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0888 014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страховые взносы на обязательное социальное страхование;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0888 015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обучение административно-управленческого персонала;</w:t>
            </w:r>
          </w:p>
        </w:tc>
      </w:tr>
      <w:tr w:rsidR="000A3EA1" w:rsidRPr="0067603F" w:rsidTr="006D55FD">
        <w:tc>
          <w:tcPr>
            <w:tcW w:w="343" w:type="pct"/>
            <w:vMerge/>
          </w:tcPr>
          <w:p w:rsidR="000A3EA1" w:rsidRPr="0067603F" w:rsidDel="002E6A4B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vMerge/>
          </w:tcPr>
          <w:p w:rsidR="000A3EA1" w:rsidRPr="0067603F" w:rsidRDefault="000A3EA1" w:rsidP="00790C83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1" w:type="pct"/>
          </w:tcPr>
          <w:p w:rsidR="000A3EA1" w:rsidRPr="0067603F" w:rsidRDefault="000A3EA1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0888 016</w:t>
            </w:r>
          </w:p>
        </w:tc>
        <w:tc>
          <w:tcPr>
            <w:tcW w:w="2302" w:type="pct"/>
            <w:shd w:val="clear" w:color="auto" w:fill="auto"/>
          </w:tcPr>
          <w:p w:rsidR="000A3EA1" w:rsidRPr="0067603F" w:rsidRDefault="000A3EA1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прочие непроизводственные расходы.</w:t>
            </w:r>
          </w:p>
        </w:tc>
      </w:tr>
      <w:tr w:rsidR="00473E4A" w:rsidRPr="000C1BA9" w:rsidTr="006D55FD">
        <w:trPr>
          <w:trHeight w:val="1948"/>
        </w:trPr>
        <w:tc>
          <w:tcPr>
            <w:tcW w:w="343" w:type="pc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1015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Выплата прибыли</w:t>
            </w:r>
          </w:p>
        </w:tc>
        <w:tc>
          <w:tcPr>
            <w:tcW w:w="569" w:type="pc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0999</w:t>
            </w:r>
          </w:p>
        </w:tc>
        <w:tc>
          <w:tcPr>
            <w:tcW w:w="771" w:type="pct"/>
            <w:shd w:val="clear" w:color="auto" w:fill="auto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0999 001</w:t>
            </w:r>
          </w:p>
        </w:tc>
        <w:tc>
          <w:tcPr>
            <w:tcW w:w="2302" w:type="pct"/>
            <w:shd w:val="clear" w:color="auto" w:fill="auto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Выплата прибыли, осуществляемая после исполнения участн</w:t>
            </w:r>
            <w:r w:rsidRPr="0067603F">
              <w:rPr>
                <w:rFonts w:ascii="Times New Roman" w:hAnsi="Times New Roman" w:cs="Times New Roman"/>
                <w:szCs w:val="24"/>
              </w:rPr>
              <w:t>и</w:t>
            </w:r>
            <w:r w:rsidRPr="0067603F">
              <w:rPr>
                <w:rFonts w:ascii="Times New Roman" w:hAnsi="Times New Roman" w:cs="Times New Roman"/>
                <w:szCs w:val="24"/>
              </w:rPr>
              <w:t>ком казначейского сопровождения всех обязательств (части об</w:t>
            </w:r>
            <w:r w:rsidRPr="0067603F">
              <w:rPr>
                <w:rFonts w:ascii="Times New Roman" w:hAnsi="Times New Roman" w:cs="Times New Roman"/>
                <w:szCs w:val="24"/>
              </w:rPr>
              <w:t>я</w:t>
            </w:r>
            <w:r w:rsidRPr="0067603F">
              <w:rPr>
                <w:rFonts w:ascii="Times New Roman" w:hAnsi="Times New Roman" w:cs="Times New Roman"/>
                <w:szCs w:val="24"/>
              </w:rPr>
              <w:t>зательств) по государственному (муниципальному) контракту, контракту (договору) (этапу государственного (муниципальн</w:t>
            </w:r>
            <w:r w:rsidRPr="0067603F">
              <w:rPr>
                <w:rFonts w:ascii="Times New Roman" w:hAnsi="Times New Roman" w:cs="Times New Roman"/>
                <w:szCs w:val="24"/>
              </w:rPr>
              <w:t>о</w:t>
            </w:r>
            <w:r w:rsidRPr="0067603F">
              <w:rPr>
                <w:rFonts w:ascii="Times New Roman" w:hAnsi="Times New Roman" w:cs="Times New Roman"/>
                <w:szCs w:val="24"/>
              </w:rPr>
              <w:t>го) контракта,  контракта (договора) (в случае если это пред</w:t>
            </w:r>
            <w:r w:rsidRPr="0067603F">
              <w:rPr>
                <w:rFonts w:ascii="Times New Roman" w:hAnsi="Times New Roman" w:cs="Times New Roman"/>
                <w:szCs w:val="24"/>
              </w:rPr>
              <w:t>у</w:t>
            </w:r>
            <w:r w:rsidRPr="0067603F">
              <w:rPr>
                <w:rFonts w:ascii="Times New Roman" w:hAnsi="Times New Roman" w:cs="Times New Roman"/>
                <w:szCs w:val="24"/>
              </w:rPr>
              <w:t>смотрено условиями государственного (муниципального) ко</w:t>
            </w:r>
            <w:r w:rsidRPr="0067603F">
              <w:rPr>
                <w:rFonts w:ascii="Times New Roman" w:hAnsi="Times New Roman" w:cs="Times New Roman"/>
                <w:szCs w:val="24"/>
              </w:rPr>
              <w:t>н</w:t>
            </w:r>
            <w:r w:rsidRPr="0067603F">
              <w:rPr>
                <w:rFonts w:ascii="Times New Roman" w:hAnsi="Times New Roman" w:cs="Times New Roman"/>
                <w:szCs w:val="24"/>
              </w:rPr>
              <w:t>тракта, контракта (договора) и при предоставлении участником казначейского сопровождения документов-оснований).</w:t>
            </w:r>
            <w:proofErr w:type="gramEnd"/>
          </w:p>
        </w:tc>
      </w:tr>
      <w:tr w:rsidR="00473E4A" w:rsidRPr="000C1BA9" w:rsidTr="006D55FD">
        <w:tc>
          <w:tcPr>
            <w:tcW w:w="343" w:type="pct"/>
          </w:tcPr>
          <w:p w:rsidR="00473E4A" w:rsidRPr="0067603F" w:rsidDel="002E6A4B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1015" w:type="pc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Выплаты 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окончательным расчетам</w:t>
            </w:r>
          </w:p>
        </w:tc>
        <w:tc>
          <w:tcPr>
            <w:tcW w:w="569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0991</w:t>
            </w:r>
          </w:p>
        </w:tc>
        <w:tc>
          <w:tcPr>
            <w:tcW w:w="771" w:type="pct"/>
          </w:tcPr>
          <w:p w:rsidR="00473E4A" w:rsidRPr="0067603F" w:rsidDel="002757E8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0991 001</w:t>
            </w:r>
          </w:p>
        </w:tc>
        <w:tc>
          <w:tcPr>
            <w:tcW w:w="2302" w:type="pct"/>
          </w:tcPr>
          <w:p w:rsidR="00473E4A" w:rsidRPr="0067603F" w:rsidDel="002757E8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окончательным расчетам, осуществляемые после исполнения участником казначейского сопровождения всех об</w:t>
            </w:r>
            <w:r w:rsidRPr="0067603F">
              <w:rPr>
                <w:rFonts w:ascii="Times New Roman" w:hAnsi="Times New Roman" w:cs="Times New Roman"/>
                <w:szCs w:val="24"/>
              </w:rPr>
              <w:t>я</w:t>
            </w:r>
            <w:r w:rsidRPr="0067603F">
              <w:rPr>
                <w:rFonts w:ascii="Times New Roman" w:hAnsi="Times New Roman" w:cs="Times New Roman"/>
                <w:szCs w:val="24"/>
              </w:rPr>
              <w:t>зательств по государственному (муниципальному) контракту, контракту (договору).</w:t>
            </w:r>
          </w:p>
        </w:tc>
      </w:tr>
      <w:tr w:rsidR="00473E4A" w:rsidRPr="000C1BA9" w:rsidTr="006D55FD">
        <w:tc>
          <w:tcPr>
            <w:tcW w:w="343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1015" w:type="pct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остатков целевых сре</w:t>
            </w:r>
            <w:proofErr w:type="gramStart"/>
            <w:r w:rsidRPr="0067603F">
              <w:rPr>
                <w:rFonts w:ascii="Times New Roman" w:hAnsi="Times New Roman" w:cs="Times New Roman"/>
                <w:szCs w:val="24"/>
              </w:rPr>
              <w:t>дств в д</w:t>
            </w:r>
            <w:proofErr w:type="gramEnd"/>
            <w:r w:rsidRPr="0067603F">
              <w:rPr>
                <w:rFonts w:ascii="Times New Roman" w:hAnsi="Times New Roman" w:cs="Times New Roman"/>
                <w:szCs w:val="24"/>
              </w:rPr>
              <w:t>оход бюджета</w:t>
            </w:r>
          </w:p>
        </w:tc>
        <w:tc>
          <w:tcPr>
            <w:tcW w:w="569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71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1000 001</w:t>
            </w:r>
          </w:p>
        </w:tc>
        <w:tc>
          <w:tcPr>
            <w:tcW w:w="2302" w:type="pct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средств, потребность в использовании которых не подтвержд</w:t>
            </w:r>
            <w:r w:rsidRPr="0067603F">
              <w:rPr>
                <w:rFonts w:ascii="Times New Roman" w:hAnsi="Times New Roman" w:cs="Times New Roman"/>
                <w:szCs w:val="24"/>
              </w:rPr>
              <w:t>е</w:t>
            </w:r>
            <w:r w:rsidRPr="0067603F">
              <w:rPr>
                <w:rFonts w:ascii="Times New Roman" w:hAnsi="Times New Roman" w:cs="Times New Roman"/>
                <w:szCs w:val="24"/>
              </w:rPr>
              <w:t>на.</w:t>
            </w:r>
          </w:p>
        </w:tc>
      </w:tr>
      <w:tr w:rsidR="00473E4A" w:rsidRPr="000C1BA9" w:rsidTr="006D55FD">
        <w:tc>
          <w:tcPr>
            <w:tcW w:w="343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1015" w:type="pct"/>
          </w:tcPr>
          <w:p w:rsidR="006D55FD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 xml:space="preserve">Выплаты по перечислению дебиторской </w:t>
            </w:r>
          </w:p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задолженности в доход бюджета</w:t>
            </w:r>
          </w:p>
        </w:tc>
        <w:tc>
          <w:tcPr>
            <w:tcW w:w="569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2000</w:t>
            </w:r>
          </w:p>
        </w:tc>
        <w:tc>
          <w:tcPr>
            <w:tcW w:w="771" w:type="pct"/>
          </w:tcPr>
          <w:p w:rsidR="00473E4A" w:rsidRPr="0067603F" w:rsidRDefault="00473E4A" w:rsidP="00790C8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2000 001</w:t>
            </w:r>
          </w:p>
        </w:tc>
        <w:tc>
          <w:tcPr>
            <w:tcW w:w="2302" w:type="pct"/>
          </w:tcPr>
          <w:p w:rsidR="00473E4A" w:rsidRPr="0067603F" w:rsidRDefault="00473E4A" w:rsidP="006D55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7603F">
              <w:rPr>
                <w:rFonts w:ascii="Times New Roman" w:hAnsi="Times New Roman" w:cs="Times New Roman"/>
                <w:szCs w:val="24"/>
              </w:rPr>
              <w:t>Выплаты по перечислению в доход соответствующего бюджета бюджетной системы Российской Федерации сумм от возврата дебиторской задолженности, не разрешенных к использованию.</w:t>
            </w:r>
          </w:p>
        </w:tc>
      </w:tr>
    </w:tbl>
    <w:p w:rsidR="00473E4A" w:rsidRPr="0067603F" w:rsidRDefault="00473E4A" w:rsidP="00473E4A">
      <w:pPr>
        <w:rPr>
          <w:rFonts w:ascii="Times New Roman" w:hAnsi="Times New Roman"/>
          <w:lang w:val="ru-RU"/>
        </w:rPr>
      </w:pPr>
    </w:p>
    <w:p w:rsidR="00A62CC0" w:rsidRPr="0067603F" w:rsidRDefault="00A62CC0" w:rsidP="00A62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val="ru-RU" w:eastAsia="ru-RU"/>
        </w:rPr>
      </w:pPr>
    </w:p>
    <w:p w:rsidR="00EA639D" w:rsidRPr="0067603F" w:rsidRDefault="00EA639D">
      <w:pPr>
        <w:rPr>
          <w:lang w:val="ru-RU"/>
        </w:rPr>
      </w:pPr>
    </w:p>
    <w:sectPr w:rsidR="00EA639D" w:rsidRPr="0067603F" w:rsidSect="006D55FD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01" w:rsidRDefault="009D4001" w:rsidP="00473E4A">
      <w:pPr>
        <w:spacing w:after="0" w:line="240" w:lineRule="auto"/>
      </w:pPr>
      <w:r>
        <w:separator/>
      </w:r>
    </w:p>
  </w:endnote>
  <w:endnote w:type="continuationSeparator" w:id="0">
    <w:p w:rsidR="009D4001" w:rsidRDefault="009D4001" w:rsidP="0047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01" w:rsidRDefault="009D4001" w:rsidP="00473E4A">
      <w:pPr>
        <w:spacing w:after="0" w:line="240" w:lineRule="auto"/>
      </w:pPr>
      <w:r>
        <w:separator/>
      </w:r>
    </w:p>
  </w:footnote>
  <w:footnote w:type="continuationSeparator" w:id="0">
    <w:p w:rsidR="009D4001" w:rsidRDefault="009D4001" w:rsidP="00473E4A">
      <w:pPr>
        <w:spacing w:after="0" w:line="240" w:lineRule="auto"/>
      </w:pPr>
      <w:r>
        <w:continuationSeparator/>
      </w:r>
    </w:p>
  </w:footnote>
  <w:footnote w:id="1">
    <w:p w:rsidR="000428B8" w:rsidRPr="00EF0D20" w:rsidRDefault="000428B8" w:rsidP="00473E4A">
      <w:pPr>
        <w:pStyle w:val="a3"/>
        <w:keepLines/>
        <w:jc w:val="both"/>
        <w:rPr>
          <w:rFonts w:ascii="Times New Roman" w:hAnsi="Times New Roman"/>
          <w:lang w:val="ru-RU"/>
        </w:rPr>
      </w:pPr>
      <w:r w:rsidRPr="00EF0D20">
        <w:rPr>
          <w:rStyle w:val="a5"/>
          <w:rFonts w:ascii="Times New Roman" w:hAnsi="Times New Roman"/>
          <w:lang w:val="ru-RU"/>
        </w:rPr>
        <w:t>1</w:t>
      </w:r>
      <w:proofErr w:type="gramStart"/>
      <w:r w:rsidRPr="00EF0D20">
        <w:rPr>
          <w:rFonts w:ascii="Times New Roman" w:hAnsi="Times New Roman"/>
          <w:lang w:val="ru-RU"/>
        </w:rPr>
        <w:t xml:space="preserve">Включая перечисление средств в целях приобретения </w:t>
      </w:r>
      <w:r w:rsidRPr="004F6A5E">
        <w:rPr>
          <w:rFonts w:ascii="Times New Roman" w:hAnsi="Times New Roman"/>
          <w:lang w:val="ru-RU"/>
        </w:rPr>
        <w:t xml:space="preserve">услуг связи </w:t>
      </w:r>
      <w:r w:rsidRPr="00474E82">
        <w:rPr>
          <w:rFonts w:ascii="Times New Roman" w:hAnsi="Times New Roman"/>
          <w:lang w:val="ru-RU"/>
        </w:rPr>
        <w:t>по приему, обработке, хранению, передаче, доставке сообщений электросвязи и почтовых отправлений</w:t>
      </w:r>
      <w:r w:rsidRPr="004F6A5E">
        <w:rPr>
          <w:rFonts w:ascii="Times New Roman" w:hAnsi="Times New Roman"/>
          <w:lang w:val="ru-RU"/>
        </w:rPr>
        <w:t xml:space="preserve">, коммунальных услуг, электроэнергии, </w:t>
      </w:r>
      <w:r w:rsidRPr="00474E82">
        <w:rPr>
          <w:rFonts w:ascii="Times New Roman" w:hAnsi="Times New Roman"/>
          <w:lang w:val="ru-RU"/>
        </w:rPr>
        <w:t>гостиничных услуг,</w:t>
      </w:r>
      <w:r w:rsidRPr="004F6A5E">
        <w:rPr>
          <w:rFonts w:ascii="Times New Roman" w:hAnsi="Times New Roman"/>
          <w:lang w:val="ru-RU"/>
        </w:rPr>
        <w:t xml:space="preserve">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</w:t>
      </w:r>
      <w:r w:rsidRPr="004F6A5E">
        <w:rPr>
          <w:rFonts w:ascii="Times New Roman" w:hAnsi="Times New Roman"/>
          <w:lang w:val="ru-RU"/>
        </w:rPr>
        <w:t>в</w:t>
      </w:r>
      <w:r w:rsidRPr="004F6A5E">
        <w:rPr>
          <w:rFonts w:ascii="Times New Roman" w:hAnsi="Times New Roman"/>
          <w:lang w:val="ru-RU"/>
        </w:rPr>
        <w:t>ления работ по</w:t>
      </w:r>
      <w:r w:rsidRPr="00EF0D20">
        <w:rPr>
          <w:rFonts w:ascii="Times New Roman" w:hAnsi="Times New Roman"/>
          <w:lang w:val="ru-RU"/>
        </w:rPr>
        <w:t xml:space="preserve"> переносу (переустройству, присоединению) принадлежащих</w:t>
      </w:r>
      <w:proofErr w:type="gramEnd"/>
      <w:r w:rsidRPr="00EF0D20">
        <w:rPr>
          <w:rFonts w:ascii="Times New Roman" w:hAnsi="Times New Roman"/>
          <w:lang w:val="ru-RU"/>
        </w:rPr>
        <w:t xml:space="preserve"> юридическим лицам инженерных сетей, коммуникаций, </w:t>
      </w:r>
      <w:proofErr w:type="spellStart"/>
      <w:r w:rsidRPr="00EF0D20">
        <w:rPr>
          <w:rFonts w:ascii="Times New Roman" w:hAnsi="Times New Roman"/>
          <w:lang w:val="ru-RU"/>
        </w:rPr>
        <w:t>сооружений</w:t>
      </w:r>
      <w:proofErr w:type="gramStart"/>
      <w:r>
        <w:rPr>
          <w:rFonts w:ascii="Times New Roman" w:hAnsi="Times New Roman"/>
          <w:lang w:val="ru-RU"/>
        </w:rPr>
        <w:t>,</w:t>
      </w:r>
      <w:r w:rsidRPr="00977609">
        <w:rPr>
          <w:rFonts w:ascii="Times New Roman" w:hAnsi="Times New Roman"/>
          <w:lang w:val="ru-RU"/>
        </w:rPr>
        <w:t>а</w:t>
      </w:r>
      <w:proofErr w:type="spellEnd"/>
      <w:proofErr w:type="gramEnd"/>
      <w:r w:rsidRPr="00977609">
        <w:rPr>
          <w:rFonts w:ascii="Times New Roman" w:hAnsi="Times New Roman"/>
          <w:lang w:val="ru-RU"/>
        </w:rPr>
        <w:t xml:space="preserve"> также проведения госуда</w:t>
      </w:r>
      <w:r w:rsidRPr="00977609">
        <w:rPr>
          <w:rFonts w:ascii="Times New Roman" w:hAnsi="Times New Roman"/>
          <w:lang w:val="ru-RU"/>
        </w:rPr>
        <w:t>р</w:t>
      </w:r>
      <w:r w:rsidRPr="00977609">
        <w:rPr>
          <w:rFonts w:ascii="Times New Roman" w:hAnsi="Times New Roman"/>
          <w:lang w:val="ru-RU"/>
        </w:rPr>
        <w:t>ственной экспертизы проектной документации и результатов инженерных изысканий</w:t>
      </w:r>
      <w:r w:rsidRPr="00EF0D20">
        <w:rPr>
          <w:rFonts w:ascii="Times New Roman" w:hAnsi="Times New Roman"/>
          <w:lang w:val="ru-RU"/>
        </w:rPr>
        <w:t xml:space="preserve"> в соответствии с законодательством Российской Федерации о градостроительной де</w:t>
      </w:r>
      <w:r w:rsidRPr="00EF0D20">
        <w:rPr>
          <w:rFonts w:ascii="Times New Roman" w:hAnsi="Times New Roman"/>
          <w:lang w:val="ru-RU"/>
        </w:rPr>
        <w:t>я</w:t>
      </w:r>
      <w:r w:rsidRPr="00EF0D20">
        <w:rPr>
          <w:rFonts w:ascii="Times New Roman" w:hAnsi="Times New Roman"/>
          <w:lang w:val="ru-RU"/>
        </w:rPr>
        <w:t>тельности, осуществления страхования в соответствии со страховым законодательством</w:t>
      </w:r>
      <w:r>
        <w:rPr>
          <w:rFonts w:ascii="Times New Roman" w:hAnsi="Times New Roman"/>
          <w:lang w:val="ru-RU"/>
        </w:rPr>
        <w:t xml:space="preserve">, </w:t>
      </w:r>
      <w:r w:rsidRPr="00977609">
        <w:rPr>
          <w:rFonts w:ascii="Times New Roman" w:hAnsi="Times New Roman"/>
          <w:lang w:val="ru-RU"/>
        </w:rPr>
        <w:t>услуг по приему платежей от физических лиц, осуществляемых платежными агент</w:t>
      </w:r>
      <w:r w:rsidRPr="00977609">
        <w:rPr>
          <w:rFonts w:ascii="Times New Roman" w:hAnsi="Times New Roman"/>
          <w:lang w:val="ru-RU"/>
        </w:rPr>
        <w:t>а</w:t>
      </w:r>
      <w:r w:rsidRPr="00977609">
        <w:rPr>
          <w:rFonts w:ascii="Times New Roman" w:hAnsi="Times New Roman"/>
          <w:lang w:val="ru-RU"/>
        </w:rPr>
        <w:t>ми</w:t>
      </w:r>
      <w:r>
        <w:rPr>
          <w:rFonts w:ascii="Times New Roman" w:hAnsi="Times New Roman"/>
          <w:lang w:val="ru-RU"/>
        </w:rPr>
        <w:t>.</w:t>
      </w:r>
    </w:p>
  </w:footnote>
  <w:footnote w:id="2">
    <w:p w:rsidR="0064097F" w:rsidRDefault="0064097F" w:rsidP="00473E4A">
      <w:pPr>
        <w:pStyle w:val="a3"/>
        <w:keepLines/>
        <w:jc w:val="both"/>
        <w:rPr>
          <w:rFonts w:ascii="Times New Roman" w:hAnsi="Times New Roman"/>
          <w:lang w:val="ru-RU"/>
        </w:rPr>
      </w:pPr>
      <w:r w:rsidRPr="00EF0D20">
        <w:rPr>
          <w:rStyle w:val="a5"/>
          <w:rFonts w:ascii="Times New Roman" w:hAnsi="Times New Roman"/>
          <w:lang w:val="ru-RU"/>
        </w:rPr>
        <w:t>2</w:t>
      </w:r>
      <w:proofErr w:type="gramStart"/>
      <w:r w:rsidRPr="00EF0D20">
        <w:rPr>
          <w:rFonts w:ascii="Times New Roman" w:hAnsi="Times New Roman"/>
          <w:lang w:val="ru-RU"/>
        </w:rPr>
        <w:t xml:space="preserve">За исключением </w:t>
      </w:r>
      <w:r w:rsidRPr="004F6A5E">
        <w:rPr>
          <w:rFonts w:ascii="Times New Roman" w:hAnsi="Times New Roman"/>
          <w:lang w:val="ru-RU"/>
        </w:rPr>
        <w:t xml:space="preserve">перечисления авансовых платежей в целях приобретения услуг связи </w:t>
      </w:r>
      <w:r w:rsidRPr="00474E82">
        <w:rPr>
          <w:rFonts w:ascii="Times New Roman" w:hAnsi="Times New Roman"/>
          <w:lang w:val="ru-RU"/>
        </w:rPr>
        <w:t>по приему, обработке, хранению, передаче, доставке сообщений электросвязи и почт</w:t>
      </w:r>
      <w:r w:rsidRPr="00474E82">
        <w:rPr>
          <w:rFonts w:ascii="Times New Roman" w:hAnsi="Times New Roman"/>
          <w:lang w:val="ru-RU"/>
        </w:rPr>
        <w:t>о</w:t>
      </w:r>
      <w:r w:rsidRPr="00474E82">
        <w:rPr>
          <w:rFonts w:ascii="Times New Roman" w:hAnsi="Times New Roman"/>
          <w:lang w:val="ru-RU"/>
        </w:rPr>
        <w:t>вых отправлений</w:t>
      </w:r>
      <w:r w:rsidRPr="004F6A5E">
        <w:rPr>
          <w:rFonts w:ascii="Times New Roman" w:hAnsi="Times New Roman"/>
          <w:lang w:val="ru-RU"/>
        </w:rPr>
        <w:t xml:space="preserve">, коммунальных услуг, электроэнергии, </w:t>
      </w:r>
      <w:r w:rsidRPr="00474E82">
        <w:rPr>
          <w:rFonts w:ascii="Times New Roman" w:hAnsi="Times New Roman"/>
          <w:lang w:val="ru-RU"/>
        </w:rPr>
        <w:t>гостиничных услуг</w:t>
      </w:r>
      <w:r w:rsidRPr="004F6A5E">
        <w:rPr>
          <w:rFonts w:ascii="Times New Roman" w:hAnsi="Times New Roman"/>
          <w:lang w:val="ru-RU"/>
        </w:rPr>
        <w:t>, услуг по организации и осуществлению перевозки грузов и пассажиров железнодорожным тран</w:t>
      </w:r>
      <w:r w:rsidRPr="004F6A5E">
        <w:rPr>
          <w:rFonts w:ascii="Times New Roman" w:hAnsi="Times New Roman"/>
          <w:lang w:val="ru-RU"/>
        </w:rPr>
        <w:t>с</w:t>
      </w:r>
      <w:r w:rsidRPr="004F6A5E">
        <w:rPr>
          <w:rFonts w:ascii="Times New Roman" w:hAnsi="Times New Roman"/>
          <w:lang w:val="ru-RU"/>
        </w:rPr>
        <w:t>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</w:t>
      </w:r>
      <w:proofErr w:type="gramEnd"/>
      <w:r w:rsidRPr="004F6A5E">
        <w:rPr>
          <w:rFonts w:ascii="Times New Roman" w:hAnsi="Times New Roman"/>
          <w:lang w:val="ru-RU"/>
        </w:rPr>
        <w:t>, присоединению) принадлежащих юридическим лицам инженерных сетей, коммуникаций, сооружений, а также проведени</w:t>
      </w:r>
      <w:r w:rsidRPr="00977609">
        <w:rPr>
          <w:rFonts w:ascii="Times New Roman" w:hAnsi="Times New Roman"/>
          <w:lang w:val="ru-RU"/>
        </w:rPr>
        <w:t xml:space="preserve">я государственной экспертизы проектной документации и результатов инженерных изысканий </w:t>
      </w:r>
      <w:r w:rsidRPr="00EF0D20">
        <w:rPr>
          <w:rFonts w:ascii="Times New Roman" w:hAnsi="Times New Roman"/>
          <w:lang w:val="ru-RU"/>
        </w:rPr>
        <w:t>в соответствии с законодательством Российской Федерации о град</w:t>
      </w:r>
      <w:r w:rsidRPr="00EF0D20">
        <w:rPr>
          <w:rFonts w:ascii="Times New Roman" w:hAnsi="Times New Roman"/>
          <w:lang w:val="ru-RU"/>
        </w:rPr>
        <w:t>о</w:t>
      </w:r>
      <w:r w:rsidRPr="00EF0D20">
        <w:rPr>
          <w:rFonts w:ascii="Times New Roman" w:hAnsi="Times New Roman"/>
          <w:lang w:val="ru-RU"/>
        </w:rPr>
        <w:t>строительной деятельности, осуществления страхования в соответствии со страховым законодательством</w:t>
      </w:r>
      <w:r>
        <w:rPr>
          <w:rFonts w:ascii="Times New Roman" w:hAnsi="Times New Roman"/>
          <w:lang w:val="ru-RU"/>
        </w:rPr>
        <w:t xml:space="preserve">, </w:t>
      </w:r>
      <w:r w:rsidRPr="00977609">
        <w:rPr>
          <w:rFonts w:ascii="Times New Roman" w:hAnsi="Times New Roman"/>
          <w:lang w:val="ru-RU"/>
        </w:rPr>
        <w:t>услуг по приему платежей от физических лиц, осуществляемых пл</w:t>
      </w:r>
      <w:r w:rsidRPr="00977609">
        <w:rPr>
          <w:rFonts w:ascii="Times New Roman" w:hAnsi="Times New Roman"/>
          <w:lang w:val="ru-RU"/>
        </w:rPr>
        <w:t>а</w:t>
      </w:r>
      <w:r w:rsidRPr="00977609">
        <w:rPr>
          <w:rFonts w:ascii="Times New Roman" w:hAnsi="Times New Roman"/>
          <w:lang w:val="ru-RU"/>
        </w:rPr>
        <w:t>тежными агентами</w:t>
      </w:r>
      <w:r>
        <w:rPr>
          <w:rFonts w:ascii="Times New Roman" w:hAnsi="Times New Roman"/>
          <w:lang w:val="ru-RU"/>
        </w:rPr>
        <w:t>.</w:t>
      </w:r>
    </w:p>
    <w:p w:rsidR="0064097F" w:rsidRPr="00560B67" w:rsidRDefault="0064097F" w:rsidP="00473E4A">
      <w:pPr>
        <w:pStyle w:val="a3"/>
        <w:jc w:val="both"/>
        <w:rPr>
          <w:rFonts w:ascii="Times New Roman" w:hAnsi="Times New Roman"/>
          <w:strike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083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D55FD" w:rsidRPr="0067603F" w:rsidRDefault="004D7750">
        <w:pPr>
          <w:pStyle w:val="a6"/>
          <w:jc w:val="center"/>
          <w:rPr>
            <w:rFonts w:ascii="Times New Roman" w:hAnsi="Times New Roman"/>
          </w:rPr>
        </w:pPr>
        <w:r w:rsidRPr="0067603F">
          <w:rPr>
            <w:rFonts w:ascii="Times New Roman" w:hAnsi="Times New Roman"/>
          </w:rPr>
          <w:fldChar w:fldCharType="begin"/>
        </w:r>
        <w:r w:rsidR="006D55FD" w:rsidRPr="0067603F">
          <w:rPr>
            <w:rFonts w:ascii="Times New Roman" w:hAnsi="Times New Roman"/>
          </w:rPr>
          <w:instrText>PAGE   \* MERGEFORMAT</w:instrText>
        </w:r>
        <w:r w:rsidRPr="0067603F">
          <w:rPr>
            <w:rFonts w:ascii="Times New Roman" w:hAnsi="Times New Roman"/>
          </w:rPr>
          <w:fldChar w:fldCharType="separate"/>
        </w:r>
        <w:r w:rsidR="000C1BA9" w:rsidRPr="000C1BA9">
          <w:rPr>
            <w:rFonts w:ascii="Times New Roman" w:hAnsi="Times New Roman"/>
            <w:noProof/>
            <w:lang w:val="ru-RU"/>
          </w:rPr>
          <w:t>16</w:t>
        </w:r>
        <w:r w:rsidRPr="0067603F">
          <w:rPr>
            <w:rFonts w:ascii="Times New Roman" w:hAnsi="Times New Roman"/>
          </w:rPr>
          <w:fldChar w:fldCharType="end"/>
        </w:r>
      </w:p>
    </w:sdtContent>
  </w:sdt>
  <w:p w:rsidR="006D55FD" w:rsidRDefault="006D55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64"/>
    <w:rsid w:val="000049F2"/>
    <w:rsid w:val="000261A8"/>
    <w:rsid w:val="000428B8"/>
    <w:rsid w:val="00047F3C"/>
    <w:rsid w:val="000A3EA1"/>
    <w:rsid w:val="000C1BA9"/>
    <w:rsid w:val="000D1498"/>
    <w:rsid w:val="00123FFD"/>
    <w:rsid w:val="00147DF4"/>
    <w:rsid w:val="001C5E0A"/>
    <w:rsid w:val="0024658B"/>
    <w:rsid w:val="0025330D"/>
    <w:rsid w:val="00263F0E"/>
    <w:rsid w:val="002877FA"/>
    <w:rsid w:val="00296C4C"/>
    <w:rsid w:val="002B5CEB"/>
    <w:rsid w:val="0032563E"/>
    <w:rsid w:val="00340792"/>
    <w:rsid w:val="00342502"/>
    <w:rsid w:val="0037108A"/>
    <w:rsid w:val="0039001F"/>
    <w:rsid w:val="003F2DA5"/>
    <w:rsid w:val="00441FD9"/>
    <w:rsid w:val="00460DAF"/>
    <w:rsid w:val="00462B1A"/>
    <w:rsid w:val="00473E4A"/>
    <w:rsid w:val="00493F2B"/>
    <w:rsid w:val="00494C6D"/>
    <w:rsid w:val="004D7750"/>
    <w:rsid w:val="004E2289"/>
    <w:rsid w:val="005056F0"/>
    <w:rsid w:val="00532773"/>
    <w:rsid w:val="005572F4"/>
    <w:rsid w:val="005616B6"/>
    <w:rsid w:val="005764AD"/>
    <w:rsid w:val="00584AB7"/>
    <w:rsid w:val="006155B3"/>
    <w:rsid w:val="0064097F"/>
    <w:rsid w:val="0064704F"/>
    <w:rsid w:val="0067603F"/>
    <w:rsid w:val="006B32E8"/>
    <w:rsid w:val="006C67AD"/>
    <w:rsid w:val="006D55FD"/>
    <w:rsid w:val="006D74DA"/>
    <w:rsid w:val="00714A44"/>
    <w:rsid w:val="00730B69"/>
    <w:rsid w:val="007425D0"/>
    <w:rsid w:val="007557B1"/>
    <w:rsid w:val="00765363"/>
    <w:rsid w:val="00765F3B"/>
    <w:rsid w:val="00772EC5"/>
    <w:rsid w:val="00773744"/>
    <w:rsid w:val="00790C83"/>
    <w:rsid w:val="00793447"/>
    <w:rsid w:val="007A41BC"/>
    <w:rsid w:val="007D2137"/>
    <w:rsid w:val="0085318E"/>
    <w:rsid w:val="00865A8B"/>
    <w:rsid w:val="008A0213"/>
    <w:rsid w:val="008C4DF1"/>
    <w:rsid w:val="008E6853"/>
    <w:rsid w:val="00904199"/>
    <w:rsid w:val="009353D9"/>
    <w:rsid w:val="009527B0"/>
    <w:rsid w:val="00952FC4"/>
    <w:rsid w:val="0098633D"/>
    <w:rsid w:val="009A499A"/>
    <w:rsid w:val="009D4001"/>
    <w:rsid w:val="009E3BC8"/>
    <w:rsid w:val="00A62CC0"/>
    <w:rsid w:val="00A84F99"/>
    <w:rsid w:val="00AD4662"/>
    <w:rsid w:val="00B05EBA"/>
    <w:rsid w:val="00B75E49"/>
    <w:rsid w:val="00B80401"/>
    <w:rsid w:val="00BB175A"/>
    <w:rsid w:val="00BC112A"/>
    <w:rsid w:val="00BE213B"/>
    <w:rsid w:val="00BF25CC"/>
    <w:rsid w:val="00C05987"/>
    <w:rsid w:val="00C3086C"/>
    <w:rsid w:val="00C676E8"/>
    <w:rsid w:val="00C72501"/>
    <w:rsid w:val="00CA06BD"/>
    <w:rsid w:val="00CE73A0"/>
    <w:rsid w:val="00D10355"/>
    <w:rsid w:val="00D16124"/>
    <w:rsid w:val="00D20971"/>
    <w:rsid w:val="00D2552F"/>
    <w:rsid w:val="00D654B3"/>
    <w:rsid w:val="00D82478"/>
    <w:rsid w:val="00DC0364"/>
    <w:rsid w:val="00DC4948"/>
    <w:rsid w:val="00DC6D3C"/>
    <w:rsid w:val="00E1394C"/>
    <w:rsid w:val="00E148A7"/>
    <w:rsid w:val="00E422A8"/>
    <w:rsid w:val="00E46539"/>
    <w:rsid w:val="00E57B04"/>
    <w:rsid w:val="00E85C86"/>
    <w:rsid w:val="00EA33A4"/>
    <w:rsid w:val="00EA3936"/>
    <w:rsid w:val="00EA639D"/>
    <w:rsid w:val="00EF04C3"/>
    <w:rsid w:val="00EF19C4"/>
    <w:rsid w:val="00F12244"/>
    <w:rsid w:val="00F5166A"/>
    <w:rsid w:val="00F86526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8"/>
    <w:rPr>
      <w:rFonts w:ascii="Arial" w:eastAsia="Calibri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73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3E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3E4A"/>
    <w:rPr>
      <w:rFonts w:ascii="Arial" w:eastAsia="Calibri" w:hAnsi="Arial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473E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E4A"/>
    <w:rPr>
      <w:rFonts w:ascii="Arial" w:eastAsia="Calibri" w:hAnsi="Arial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C83"/>
    <w:rPr>
      <w:rFonts w:ascii="Arial" w:eastAsia="Calibri" w:hAnsi="Arial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4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97F"/>
    <w:rPr>
      <w:rFonts w:ascii="Tahoma" w:eastAsia="Calibri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6D55F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B8"/>
    <w:rPr>
      <w:rFonts w:ascii="Arial" w:eastAsia="Calibri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73E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3E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3E4A"/>
    <w:rPr>
      <w:rFonts w:ascii="Arial" w:eastAsia="Calibri" w:hAnsi="Arial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473E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E4A"/>
    <w:rPr>
      <w:rFonts w:ascii="Arial" w:eastAsia="Calibri" w:hAnsi="Arial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7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C83"/>
    <w:rPr>
      <w:rFonts w:ascii="Arial" w:eastAsia="Calibri" w:hAnsi="Arial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4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97F"/>
    <w:rPr>
      <w:rFonts w:ascii="Tahoma" w:eastAsia="Calibri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6D55F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Охват О.А.</dc:creator>
  <cp:lastModifiedBy>Общий отдел</cp:lastModifiedBy>
  <cp:revision>4</cp:revision>
  <cp:lastPrinted>2022-02-17T11:48:00Z</cp:lastPrinted>
  <dcterms:created xsi:type="dcterms:W3CDTF">2022-02-17T11:40:00Z</dcterms:created>
  <dcterms:modified xsi:type="dcterms:W3CDTF">2022-02-17T11:48:00Z</dcterms:modified>
</cp:coreProperties>
</file>